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0C761" w14:textId="6959B14C" w:rsidR="000B4AFD" w:rsidRPr="003C257D" w:rsidRDefault="000B4AFD" w:rsidP="007C4F51">
      <w:pPr>
        <w:spacing w:after="0" w:line="240" w:lineRule="auto"/>
        <w:jc w:val="center"/>
        <w:rPr>
          <w:rFonts w:asciiTheme="minorHAnsi" w:eastAsia="Times New Roman" w:hAnsiTheme="minorHAnsi"/>
          <w:b/>
        </w:rPr>
      </w:pPr>
      <w:r w:rsidRPr="003C257D">
        <w:rPr>
          <w:rFonts w:asciiTheme="minorHAnsi" w:eastAsia="Times New Roman" w:hAnsiTheme="minorHAnsi"/>
          <w:b/>
        </w:rPr>
        <w:t>SNA 2023 Legislation Highlights</w:t>
      </w:r>
    </w:p>
    <w:p w14:paraId="08E9E5AA" w14:textId="3AA8D7F7" w:rsidR="000B4AFD" w:rsidRPr="003C257D" w:rsidRDefault="00A52819" w:rsidP="007C4F51">
      <w:pPr>
        <w:spacing w:after="0" w:line="240" w:lineRule="auto"/>
        <w:jc w:val="center"/>
        <w:rPr>
          <w:rFonts w:asciiTheme="minorHAnsi" w:hAnsiTheme="minorHAnsi"/>
          <w:b/>
        </w:rPr>
      </w:pPr>
      <w:r w:rsidRPr="003C257D">
        <w:rPr>
          <w:rFonts w:asciiTheme="minorHAnsi" w:hAnsiTheme="minorHAnsi"/>
          <w:b/>
        </w:rPr>
        <w:t xml:space="preserve">October </w:t>
      </w:r>
      <w:r w:rsidR="000B4AFD" w:rsidRPr="003C257D">
        <w:rPr>
          <w:rFonts w:asciiTheme="minorHAnsi" w:hAnsiTheme="minorHAnsi"/>
          <w:b/>
        </w:rPr>
        <w:t>2023</w:t>
      </w:r>
    </w:p>
    <w:p w14:paraId="0BB591C0" w14:textId="77777777" w:rsidR="000B4AFD" w:rsidRPr="003C257D" w:rsidRDefault="000B4AFD" w:rsidP="007C4F51">
      <w:pPr>
        <w:spacing w:after="0" w:line="240" w:lineRule="auto"/>
        <w:rPr>
          <w:rFonts w:asciiTheme="minorHAnsi" w:hAnsiTheme="minorHAnsi"/>
          <w:b/>
        </w:rPr>
      </w:pPr>
    </w:p>
    <w:p w14:paraId="101C619C" w14:textId="77777777" w:rsidR="000B4AFD" w:rsidRPr="003C257D" w:rsidRDefault="000B4AFD" w:rsidP="007C4F51">
      <w:pPr>
        <w:spacing w:after="0" w:line="240" w:lineRule="auto"/>
        <w:rPr>
          <w:rFonts w:asciiTheme="minorHAnsi" w:hAnsiTheme="minorHAnsi"/>
          <w:b/>
        </w:rPr>
      </w:pPr>
    </w:p>
    <w:p w14:paraId="2BD94FA7" w14:textId="77777777" w:rsidR="000B4AFD" w:rsidRPr="003C257D" w:rsidRDefault="000B4AFD" w:rsidP="007C4F51">
      <w:pPr>
        <w:spacing w:after="0" w:line="240" w:lineRule="auto"/>
        <w:rPr>
          <w:rFonts w:asciiTheme="minorHAnsi" w:hAnsiTheme="minorHAnsi"/>
          <w:b/>
        </w:rPr>
      </w:pPr>
      <w:bookmarkStart w:id="0" w:name="_Hlk148384612"/>
      <w:r w:rsidRPr="003C257D">
        <w:rPr>
          <w:rFonts w:asciiTheme="minorHAnsi" w:hAnsiTheme="minorHAnsi"/>
          <w:b/>
        </w:rPr>
        <w:t xml:space="preserve">The SNA Public Policy work is available on the SNA website.  There is a section called “Advocacy: Get Involved!”  Included there are </w:t>
      </w:r>
      <w:hyperlink r:id="rId5" w:history="1">
        <w:r w:rsidRPr="003C257D">
          <w:rPr>
            <w:rFonts w:asciiTheme="minorHAnsi" w:hAnsiTheme="minorHAnsi"/>
            <w:b/>
            <w:color w:val="0000FF"/>
            <w:u w:val="single"/>
          </w:rPr>
          <w:t>links and tools</w:t>
        </w:r>
      </w:hyperlink>
      <w:r w:rsidRPr="003C257D">
        <w:rPr>
          <w:rFonts w:asciiTheme="minorHAnsi" w:hAnsiTheme="minorHAnsi"/>
          <w:b/>
        </w:rPr>
        <w:t xml:space="preserve"> for members to use in their own advocacy. </w:t>
      </w:r>
    </w:p>
    <w:bookmarkEnd w:id="0"/>
    <w:p w14:paraId="0EDBABCC" w14:textId="77777777" w:rsidR="007D5FAE" w:rsidRPr="003C257D" w:rsidRDefault="007D5FAE" w:rsidP="007C4F51">
      <w:pPr>
        <w:spacing w:after="0" w:line="240" w:lineRule="auto"/>
        <w:rPr>
          <w:rFonts w:asciiTheme="minorHAnsi" w:hAnsiTheme="minorHAnsi"/>
          <w:b/>
          <w:u w:val="single"/>
        </w:rPr>
      </w:pPr>
    </w:p>
    <w:p w14:paraId="612D3D49" w14:textId="27E171E8" w:rsidR="000B4AFD" w:rsidRPr="003C257D" w:rsidRDefault="000B4AFD" w:rsidP="007C4F51">
      <w:pPr>
        <w:spacing w:after="0" w:line="240" w:lineRule="auto"/>
        <w:rPr>
          <w:rFonts w:asciiTheme="minorHAnsi" w:hAnsiTheme="minorHAnsi"/>
          <w:b/>
          <w:u w:val="single"/>
        </w:rPr>
      </w:pPr>
      <w:r w:rsidRPr="003C257D">
        <w:rPr>
          <w:rFonts w:asciiTheme="minorHAnsi" w:hAnsiTheme="minorHAnsi"/>
          <w:b/>
          <w:u w:val="single"/>
        </w:rPr>
        <w:t>LEGISLATION OF NOTE:</w:t>
      </w:r>
    </w:p>
    <w:p w14:paraId="167AA1CD" w14:textId="77777777" w:rsidR="001A6590" w:rsidRPr="003C257D" w:rsidRDefault="001A6590" w:rsidP="007C4F51">
      <w:pPr>
        <w:spacing w:after="0" w:line="240" w:lineRule="auto"/>
        <w:rPr>
          <w:rFonts w:asciiTheme="minorHAnsi" w:hAnsiTheme="minorHAnsi"/>
          <w:b/>
          <w:u w:val="single"/>
        </w:rPr>
      </w:pPr>
    </w:p>
    <w:p w14:paraId="57A8D776" w14:textId="389018E2" w:rsidR="001A6590" w:rsidRPr="003C257D" w:rsidRDefault="001A6590" w:rsidP="00833932">
      <w:pPr>
        <w:keepNext/>
        <w:keepLines/>
        <w:shd w:val="clear" w:color="auto" w:fill="FFFFFF"/>
        <w:spacing w:after="0"/>
        <w:outlineLvl w:val="2"/>
        <w:rPr>
          <w:rFonts w:asciiTheme="minorHAnsi" w:eastAsiaTheme="majorEastAsia" w:hAnsiTheme="minorHAnsi"/>
          <w:kern w:val="2"/>
          <w14:ligatures w14:val="standardContextual"/>
        </w:rPr>
      </w:pPr>
      <w:r w:rsidRPr="003C257D">
        <w:rPr>
          <w:rFonts w:asciiTheme="minorHAnsi" w:eastAsiaTheme="majorEastAsia" w:hAnsiTheme="minorHAnsi"/>
          <w:b/>
          <w:bCs w:val="0"/>
          <w:kern w:val="2"/>
          <w14:ligatures w14:val="standardContextual"/>
        </w:rPr>
        <w:t>ABLE MATCH (Making ABLE a Tool to Combat Hardship) Act</w:t>
      </w:r>
      <w:r w:rsidRPr="003C257D">
        <w:rPr>
          <w:rFonts w:asciiTheme="minorHAnsi" w:eastAsiaTheme="majorEastAsia" w:hAnsiTheme="minorHAnsi"/>
          <w:kern w:val="2"/>
          <w14:ligatures w14:val="standardContextual"/>
        </w:rPr>
        <w:t xml:space="preserve"> </w:t>
      </w:r>
      <w:hyperlink r:id="rId6" w:history="1">
        <w:r w:rsidRPr="003C257D">
          <w:rPr>
            <w:rStyle w:val="Hyperlink"/>
            <w:rFonts w:asciiTheme="minorHAnsi" w:eastAsiaTheme="majorEastAsia" w:hAnsiTheme="minorHAnsi"/>
            <w:kern w:val="2"/>
            <w14:ligatures w14:val="standardContextual"/>
          </w:rPr>
          <w:t>H.R. 5102</w:t>
        </w:r>
      </w:hyperlink>
      <w:r w:rsidRPr="003C257D">
        <w:rPr>
          <w:rFonts w:asciiTheme="minorHAnsi" w:eastAsiaTheme="majorEastAsia" w:hAnsiTheme="minorHAnsi"/>
          <w:kern w:val="2"/>
          <w14:ligatures w14:val="standardContextual"/>
        </w:rPr>
        <w:t>/</w:t>
      </w:r>
      <w:hyperlink r:id="rId7" w:history="1">
        <w:r w:rsidRPr="003C257D">
          <w:rPr>
            <w:rStyle w:val="Hyperlink"/>
            <w:rFonts w:asciiTheme="minorHAnsi" w:eastAsiaTheme="majorEastAsia" w:hAnsiTheme="minorHAnsi"/>
            <w:kern w:val="2"/>
            <w14:ligatures w14:val="standardContextual"/>
          </w:rPr>
          <w:t>S.2522</w:t>
        </w:r>
      </w:hyperlink>
      <w:r w:rsidRPr="003C257D">
        <w:rPr>
          <w:rFonts w:asciiTheme="minorHAnsi" w:eastAsiaTheme="majorEastAsia" w:hAnsiTheme="minorHAnsi"/>
          <w:kern w:val="2"/>
          <w14:ligatures w14:val="standardContextual"/>
        </w:rPr>
        <w:t xml:space="preserve"> (Rep. Dingell and Sen. Casey) The </w:t>
      </w:r>
      <w:hyperlink r:id="rId8" w:history="1">
        <w:r w:rsidRPr="003C257D">
          <w:rPr>
            <w:rStyle w:val="Hyperlink"/>
            <w:rFonts w:asciiTheme="minorHAnsi" w:eastAsiaTheme="majorEastAsia" w:hAnsiTheme="minorHAnsi"/>
            <w:i/>
            <w:iCs/>
            <w:kern w:val="2"/>
            <w14:ligatures w14:val="standardContextual"/>
          </w:rPr>
          <w:t>ABLE MATCH</w:t>
        </w:r>
        <w:r w:rsidRPr="003C257D">
          <w:rPr>
            <w:rStyle w:val="Hyperlink"/>
            <w:rFonts w:asciiTheme="minorHAnsi" w:eastAsiaTheme="majorEastAsia" w:hAnsiTheme="minorHAnsi"/>
            <w:kern w:val="2"/>
            <w14:ligatures w14:val="standardContextual"/>
          </w:rPr>
          <w:t> Act</w:t>
        </w:r>
      </w:hyperlink>
      <w:r w:rsidRPr="003C257D">
        <w:rPr>
          <w:rFonts w:asciiTheme="minorHAnsi" w:eastAsiaTheme="majorEastAsia" w:hAnsiTheme="minorHAnsi"/>
          <w:kern w:val="2"/>
          <w14:ligatures w14:val="standardContextual"/>
        </w:rPr>
        <w:t xml:space="preserve"> helps people with lower incomes participate in the ABLE program by creating a federal dollar-for-dollar match for new and existing ABLE accounts held by individuals that make $28,000 annually or less. The match then tapers off for each dollar a person earns over $28,000. This figure is also indexed to inflation and adjusted for heads of household and married couples. The </w:t>
      </w:r>
      <w:r w:rsidRPr="003C257D">
        <w:rPr>
          <w:rFonts w:asciiTheme="minorHAnsi" w:eastAsiaTheme="majorEastAsia" w:hAnsiTheme="minorHAnsi"/>
          <w:i/>
          <w:iCs/>
          <w:kern w:val="2"/>
          <w14:ligatures w14:val="standardContextual"/>
        </w:rPr>
        <w:t>ABLE MATCH Act</w:t>
      </w:r>
      <w:r w:rsidRPr="003C257D">
        <w:rPr>
          <w:rFonts w:asciiTheme="minorHAnsi" w:eastAsiaTheme="majorEastAsia" w:hAnsiTheme="minorHAnsi"/>
          <w:kern w:val="2"/>
          <w14:ligatures w14:val="standardContextual"/>
        </w:rPr>
        <w:t xml:space="preserve"> will reward low-income people with disabilities for saving money for their disability expenses and health needs. This addition to </w:t>
      </w:r>
      <w:r w:rsidR="00004031" w:rsidRPr="003C257D">
        <w:rPr>
          <w:rFonts w:asciiTheme="minorHAnsi" w:eastAsiaTheme="majorEastAsia" w:hAnsiTheme="minorHAnsi"/>
          <w:kern w:val="2"/>
          <w14:ligatures w14:val="standardContextual"/>
        </w:rPr>
        <w:t>the ABLE</w:t>
      </w:r>
      <w:r w:rsidRPr="003C257D">
        <w:rPr>
          <w:rFonts w:asciiTheme="minorHAnsi" w:eastAsiaTheme="majorEastAsia" w:hAnsiTheme="minorHAnsi"/>
          <w:kern w:val="2"/>
          <w14:ligatures w14:val="standardContextual"/>
        </w:rPr>
        <w:t xml:space="preserve"> program will help boost enrollment and improve the financial health of people with disabilities with lower incomes.</w:t>
      </w:r>
      <w:r w:rsidR="0008317A" w:rsidRPr="003C257D">
        <w:rPr>
          <w:rFonts w:asciiTheme="minorHAnsi" w:eastAsiaTheme="majorEastAsia" w:hAnsiTheme="minorHAnsi"/>
          <w:kern w:val="2"/>
          <w14:ligatures w14:val="standardContextual"/>
        </w:rPr>
        <w:t xml:space="preserve"> Referred to House Ways and Means (8/1/23) and Senate Committee on Finance (7/26/23). </w:t>
      </w:r>
    </w:p>
    <w:p w14:paraId="12345E82" w14:textId="77777777" w:rsidR="001A6590" w:rsidRPr="003C257D" w:rsidRDefault="001A6590" w:rsidP="00833932">
      <w:pPr>
        <w:keepNext/>
        <w:keepLines/>
        <w:shd w:val="clear" w:color="auto" w:fill="FFFFFF"/>
        <w:spacing w:after="0"/>
        <w:outlineLvl w:val="2"/>
        <w:rPr>
          <w:rFonts w:asciiTheme="minorHAnsi" w:eastAsiaTheme="majorEastAsia" w:hAnsiTheme="minorHAnsi"/>
          <w:kern w:val="2"/>
          <w14:ligatures w14:val="standardContextual"/>
        </w:rPr>
      </w:pPr>
    </w:p>
    <w:p w14:paraId="273D55D5" w14:textId="0B17745D" w:rsidR="00833932" w:rsidRPr="003C257D" w:rsidRDefault="00833932" w:rsidP="00AE50D2">
      <w:pPr>
        <w:keepNext/>
        <w:keepLines/>
        <w:shd w:val="clear" w:color="auto" w:fill="FFFFFF"/>
        <w:spacing w:after="0"/>
        <w:outlineLvl w:val="2"/>
        <w:rPr>
          <w:rFonts w:asciiTheme="minorHAnsi" w:hAnsiTheme="minorHAnsi"/>
          <w:kern w:val="2"/>
          <w14:ligatures w14:val="standardContextual"/>
        </w:rPr>
      </w:pPr>
      <w:r w:rsidRPr="003C257D">
        <w:rPr>
          <w:rFonts w:asciiTheme="minorHAnsi" w:eastAsiaTheme="majorEastAsia" w:hAnsiTheme="minorHAnsi"/>
          <w:b/>
          <w:bCs w:val="0"/>
          <w:kern w:val="2"/>
          <w14:ligatures w14:val="standardContextual"/>
        </w:rPr>
        <w:t>Work Without Worry Act</w:t>
      </w:r>
      <w:r w:rsidRPr="003C257D">
        <w:rPr>
          <w:rFonts w:asciiTheme="minorHAnsi" w:eastAsiaTheme="majorEastAsia" w:hAnsiTheme="minorHAnsi"/>
          <w:kern w:val="2"/>
          <w14:ligatures w14:val="standardContextual"/>
        </w:rPr>
        <w:t xml:space="preserve"> </w:t>
      </w:r>
      <w:hyperlink r:id="rId9" w:history="1">
        <w:r w:rsidRPr="003C257D">
          <w:rPr>
            <w:rStyle w:val="Hyperlink"/>
            <w:rFonts w:asciiTheme="minorHAnsi" w:eastAsiaTheme="majorEastAsia" w:hAnsiTheme="minorHAnsi"/>
            <w:kern w:val="2"/>
            <w14:ligatures w14:val="standardContextual"/>
          </w:rPr>
          <w:t>S.2196</w:t>
        </w:r>
      </w:hyperlink>
      <w:r w:rsidRPr="003C257D">
        <w:rPr>
          <w:rFonts w:asciiTheme="minorHAnsi" w:eastAsiaTheme="majorEastAsia" w:hAnsiTheme="minorHAnsi"/>
          <w:kern w:val="2"/>
          <w14:ligatures w14:val="standardContextual"/>
        </w:rPr>
        <w:t xml:space="preserve"> (</w:t>
      </w:r>
      <w:r w:rsidR="0008317A" w:rsidRPr="003C257D">
        <w:rPr>
          <w:rFonts w:asciiTheme="minorHAnsi" w:eastAsiaTheme="majorEastAsia" w:hAnsiTheme="minorHAnsi"/>
          <w:kern w:val="2"/>
          <w14:ligatures w14:val="standardContextual"/>
        </w:rPr>
        <w:t xml:space="preserve">Senators </w:t>
      </w:r>
      <w:r w:rsidRPr="003C257D">
        <w:rPr>
          <w:rFonts w:asciiTheme="minorHAnsi" w:eastAsiaTheme="majorEastAsia" w:hAnsiTheme="minorHAnsi"/>
          <w:kern w:val="2"/>
          <w14:ligatures w14:val="standardContextual"/>
        </w:rPr>
        <w:t xml:space="preserve">Wyden and Cassidy) </w:t>
      </w:r>
      <w:r w:rsidRPr="003C257D">
        <w:rPr>
          <w:rFonts w:asciiTheme="minorHAnsi" w:eastAsia="Times New Roman" w:hAnsiTheme="minorHAnsi"/>
        </w:rPr>
        <w:t>This bill modifies eligibility for Social Security Disability Insurance (SSDI) benefits for individuals who have a disability that began before age 22.</w:t>
      </w:r>
      <w:r w:rsidR="0008317A" w:rsidRPr="003C257D">
        <w:rPr>
          <w:rFonts w:asciiTheme="minorHAnsi" w:eastAsia="Times New Roman" w:hAnsiTheme="minorHAnsi"/>
        </w:rPr>
        <w:t xml:space="preserve"> </w:t>
      </w:r>
      <w:r w:rsidRPr="003C257D">
        <w:rPr>
          <w:rFonts w:asciiTheme="minorHAnsi" w:eastAsia="Times New Roman" w:hAnsiTheme="minorHAnsi"/>
        </w:rPr>
        <w:t>Under current law, these individuals may obtain SSDI benefits based on the work record of a retired, disabled, or deceased parent. However, an individual with earnings after age 22 that exceed a specified monetary limit (i.e., constitute substantial gainful activity) permanently loses eligibility for such benefits.</w:t>
      </w:r>
      <w:r w:rsidR="0008317A" w:rsidRPr="003C257D">
        <w:rPr>
          <w:rFonts w:asciiTheme="minorHAnsi" w:eastAsia="Times New Roman" w:hAnsiTheme="minorHAnsi"/>
        </w:rPr>
        <w:t xml:space="preserve"> </w:t>
      </w:r>
      <w:r w:rsidRPr="003C257D">
        <w:rPr>
          <w:rFonts w:asciiTheme="minorHAnsi" w:eastAsia="Times New Roman" w:hAnsiTheme="minorHAnsi"/>
        </w:rPr>
        <w:t>This bill allows individuals to retain eligibility for such benefits regardless of the amount of earnings after age 22. Additionally, individuals who apply for SSDI benefits on a parent's record and also independently qualify for Social Security benefits on their own record will receive the larger of the two benefit amounts.</w:t>
      </w:r>
      <w:r w:rsidR="0008317A" w:rsidRPr="003C257D">
        <w:rPr>
          <w:rFonts w:asciiTheme="minorHAnsi" w:hAnsiTheme="minorHAnsi"/>
          <w:kern w:val="2"/>
          <w14:ligatures w14:val="standardContextual"/>
        </w:rPr>
        <w:t xml:space="preserve"> </w:t>
      </w:r>
      <w:r w:rsidRPr="003C257D">
        <w:rPr>
          <w:rFonts w:asciiTheme="minorHAnsi" w:hAnsiTheme="minorHAnsi"/>
          <w:kern w:val="2"/>
          <w14:ligatures w14:val="standardContextual"/>
        </w:rPr>
        <w:t>Referred to Committee on Finance</w:t>
      </w:r>
      <w:r w:rsidR="0008317A" w:rsidRPr="003C257D">
        <w:rPr>
          <w:rFonts w:asciiTheme="minorHAnsi" w:hAnsiTheme="minorHAnsi"/>
          <w:kern w:val="2"/>
          <w14:ligatures w14:val="standardContextual"/>
        </w:rPr>
        <w:t xml:space="preserve"> (6/22/23).</w:t>
      </w:r>
    </w:p>
    <w:p w14:paraId="771293C8" w14:textId="77777777" w:rsidR="00833932" w:rsidRPr="003C257D" w:rsidRDefault="00833932" w:rsidP="00833932">
      <w:pPr>
        <w:rPr>
          <w:rFonts w:asciiTheme="minorHAnsi" w:hAnsiTheme="minorHAnsi"/>
          <w:kern w:val="2"/>
          <w14:ligatures w14:val="standardContextual"/>
        </w:rPr>
      </w:pPr>
    </w:p>
    <w:p w14:paraId="2755F66E" w14:textId="10D05348" w:rsidR="00E06C58" w:rsidRPr="003C257D" w:rsidRDefault="004E6FE6" w:rsidP="00E06C58">
      <w:pPr>
        <w:shd w:val="clear" w:color="auto" w:fill="FFFFFF"/>
        <w:spacing w:after="0" w:line="240" w:lineRule="auto"/>
        <w:rPr>
          <w:rFonts w:asciiTheme="minorHAnsi" w:eastAsia="Times New Roman" w:hAnsiTheme="minorHAnsi"/>
          <w:bCs w:val="0"/>
          <w:color w:val="222222"/>
        </w:rPr>
      </w:pPr>
      <w:r w:rsidRPr="003C257D">
        <w:rPr>
          <w:rFonts w:asciiTheme="minorHAnsi" w:hAnsiTheme="minorHAnsi"/>
          <w:b/>
          <w:bCs w:val="0"/>
          <w:color w:val="222222"/>
          <w:shd w:val="clear" w:color="auto" w:fill="FFFFFF"/>
        </w:rPr>
        <w:t>Alleviating Barriers for Caregivers Act</w:t>
      </w:r>
      <w:r w:rsidR="002A2561" w:rsidRPr="003C257D">
        <w:rPr>
          <w:rFonts w:asciiTheme="minorHAnsi" w:hAnsiTheme="minorHAnsi"/>
          <w:b/>
          <w:bCs w:val="0"/>
          <w:color w:val="222222"/>
          <w:shd w:val="clear" w:color="auto" w:fill="FFFFFF"/>
        </w:rPr>
        <w:t xml:space="preserve"> (ABC Act) </w:t>
      </w:r>
      <w:r w:rsidR="00E06C58" w:rsidRPr="003C257D">
        <w:rPr>
          <w:rFonts w:asciiTheme="minorHAnsi" w:eastAsia="Times New Roman" w:hAnsiTheme="minorHAnsi"/>
          <w:bCs w:val="0"/>
          <w:color w:val="222222"/>
        </w:rPr>
        <w:t>will be introduced by Senators Ed Markey (D-MA) and Shelley Moore Capito (R-WV)</w:t>
      </w:r>
      <w:r w:rsidR="002A2561" w:rsidRPr="003C257D">
        <w:rPr>
          <w:rFonts w:asciiTheme="minorHAnsi" w:eastAsia="Times New Roman" w:hAnsiTheme="minorHAnsi"/>
          <w:bCs w:val="0"/>
          <w:color w:val="222222"/>
        </w:rPr>
        <w:t xml:space="preserve"> by the end of October 2023</w:t>
      </w:r>
      <w:r w:rsidR="00E06C58" w:rsidRPr="003C257D">
        <w:rPr>
          <w:rFonts w:asciiTheme="minorHAnsi" w:eastAsia="Times New Roman" w:hAnsiTheme="minorHAnsi"/>
          <w:bCs w:val="0"/>
          <w:color w:val="222222"/>
        </w:rPr>
        <w:t xml:space="preserve">. </w:t>
      </w:r>
      <w:r w:rsidR="002A2561" w:rsidRPr="003C257D">
        <w:rPr>
          <w:rFonts w:asciiTheme="minorHAnsi" w:eastAsia="Times New Roman" w:hAnsiTheme="minorHAnsi"/>
          <w:bCs w:val="0"/>
          <w:color w:val="222222"/>
        </w:rPr>
        <w:t>SNA signed on as an endorsing organization</w:t>
      </w:r>
      <w:r w:rsidR="00004031">
        <w:rPr>
          <w:rFonts w:asciiTheme="minorHAnsi" w:eastAsia="Times New Roman" w:hAnsiTheme="minorHAnsi"/>
          <w:bCs w:val="0"/>
          <w:color w:val="222222"/>
        </w:rPr>
        <w:t xml:space="preserve">. </w:t>
      </w:r>
      <w:r w:rsidR="002A2561" w:rsidRPr="003C257D">
        <w:rPr>
          <w:rFonts w:asciiTheme="minorHAnsi" w:eastAsia="Times New Roman" w:hAnsiTheme="minorHAnsi"/>
          <w:bCs w:val="0"/>
          <w:color w:val="222222"/>
        </w:rPr>
        <w:t xml:space="preserve"> The</w:t>
      </w:r>
      <w:r w:rsidR="00E06C58" w:rsidRPr="003C257D">
        <w:rPr>
          <w:rFonts w:asciiTheme="minorHAnsi" w:eastAsia="Times New Roman" w:hAnsiTheme="minorHAnsi"/>
          <w:bCs w:val="0"/>
          <w:color w:val="222222"/>
        </w:rPr>
        <w:t xml:space="preserve"> bill would require the Centers for Medicare &amp; Medicaid Services (CMS) and Social Security Administration (SSA) to review their eligibility processes, procedures, forms, and communications for Medicare, Medicaid, CHIP, and the Social Security programs to reduce administrative challenges for</w:t>
      </w:r>
      <w:r w:rsidR="00004031">
        <w:rPr>
          <w:rFonts w:asciiTheme="minorHAnsi" w:eastAsia="Times New Roman" w:hAnsiTheme="minorHAnsi"/>
          <w:bCs w:val="0"/>
          <w:color w:val="222222"/>
        </w:rPr>
        <w:t xml:space="preserve"> beneficiaries and</w:t>
      </w:r>
      <w:r w:rsidR="00E06C58" w:rsidRPr="003C257D">
        <w:rPr>
          <w:rFonts w:asciiTheme="minorHAnsi" w:eastAsia="Times New Roman" w:hAnsiTheme="minorHAnsi"/>
          <w:bCs w:val="0"/>
          <w:color w:val="222222"/>
        </w:rPr>
        <w:t xml:space="preserve"> family caregivers. </w:t>
      </w:r>
    </w:p>
    <w:p w14:paraId="38F64032" w14:textId="77777777" w:rsidR="00833932" w:rsidRPr="003C257D" w:rsidRDefault="00833932" w:rsidP="007C4F51">
      <w:pPr>
        <w:spacing w:after="0" w:line="240" w:lineRule="auto"/>
        <w:rPr>
          <w:rFonts w:asciiTheme="minorHAnsi" w:hAnsiTheme="minorHAnsi"/>
          <w:b/>
        </w:rPr>
      </w:pPr>
    </w:p>
    <w:p w14:paraId="6A3956C8" w14:textId="1DD7DA98" w:rsidR="000218C4" w:rsidRDefault="000218C4" w:rsidP="007C4F51">
      <w:pPr>
        <w:spacing w:after="0" w:line="240" w:lineRule="auto"/>
        <w:rPr>
          <w:rFonts w:asciiTheme="minorHAnsi" w:hAnsiTheme="minorHAnsi"/>
          <w:color w:val="222222"/>
          <w:shd w:val="clear" w:color="auto" w:fill="FFFFFF"/>
        </w:rPr>
      </w:pPr>
      <w:bookmarkStart w:id="1" w:name="_Hlk148441869"/>
      <w:r w:rsidRPr="003C257D">
        <w:rPr>
          <w:rFonts w:asciiTheme="minorHAnsi" w:hAnsiTheme="minorHAnsi"/>
          <w:b/>
          <w:bCs w:val="0"/>
          <w:color w:val="222222"/>
          <w:shd w:val="clear" w:color="auto" w:fill="FFFFFF"/>
        </w:rPr>
        <w:t>SSI Savings Penalty Elimination Act</w:t>
      </w:r>
      <w:r w:rsidR="006446C1" w:rsidRPr="003C257D">
        <w:rPr>
          <w:rFonts w:asciiTheme="minorHAnsi" w:hAnsiTheme="minorHAnsi"/>
          <w:color w:val="222222"/>
          <w:shd w:val="clear" w:color="auto" w:fill="FFFFFF"/>
        </w:rPr>
        <w:t xml:space="preserve"> </w:t>
      </w:r>
      <w:hyperlink r:id="rId10" w:history="1">
        <w:r w:rsidR="006446C1" w:rsidRPr="003C257D">
          <w:rPr>
            <w:rStyle w:val="Hyperlink"/>
            <w:rFonts w:asciiTheme="minorHAnsi" w:hAnsiTheme="minorHAnsi"/>
            <w:shd w:val="clear" w:color="auto" w:fill="FFFFFF"/>
          </w:rPr>
          <w:t>S. 2767</w:t>
        </w:r>
      </w:hyperlink>
      <w:r w:rsidR="006446C1" w:rsidRPr="003C257D">
        <w:rPr>
          <w:rFonts w:asciiTheme="minorHAnsi" w:hAnsiTheme="minorHAnsi"/>
          <w:color w:val="222222"/>
          <w:shd w:val="clear" w:color="auto" w:fill="FFFFFF"/>
        </w:rPr>
        <w:t>/</w:t>
      </w:r>
      <w:hyperlink r:id="rId11" w:history="1">
        <w:r w:rsidR="006446C1" w:rsidRPr="003C257D">
          <w:rPr>
            <w:rStyle w:val="Hyperlink"/>
            <w:rFonts w:asciiTheme="minorHAnsi" w:hAnsiTheme="minorHAnsi"/>
            <w:shd w:val="clear" w:color="auto" w:fill="FFFFFF"/>
          </w:rPr>
          <w:t>H.R. 5408</w:t>
        </w:r>
      </w:hyperlink>
      <w:r w:rsidRPr="003C257D">
        <w:rPr>
          <w:rFonts w:asciiTheme="minorHAnsi" w:hAnsiTheme="minorHAnsi"/>
          <w:color w:val="222222"/>
          <w:shd w:val="clear" w:color="auto" w:fill="FFFFFF"/>
        </w:rPr>
        <w:t xml:space="preserve"> </w:t>
      </w:r>
      <w:r w:rsidR="000D0696" w:rsidRPr="003C257D">
        <w:rPr>
          <w:rFonts w:asciiTheme="minorHAnsi" w:hAnsiTheme="minorHAnsi"/>
          <w:color w:val="222222"/>
          <w:shd w:val="clear" w:color="auto" w:fill="FFFFFF"/>
        </w:rPr>
        <w:t>(</w:t>
      </w:r>
      <w:r w:rsidRPr="003C257D">
        <w:rPr>
          <w:rFonts w:asciiTheme="minorHAnsi" w:hAnsiTheme="minorHAnsi"/>
          <w:color w:val="222222"/>
          <w:shd w:val="clear" w:color="auto" w:fill="FFFFFF"/>
        </w:rPr>
        <w:t>Senators Brown and Cassidy</w:t>
      </w:r>
      <w:r w:rsidR="000D0696" w:rsidRPr="003C257D">
        <w:rPr>
          <w:rFonts w:asciiTheme="minorHAnsi" w:hAnsiTheme="minorHAnsi"/>
          <w:color w:val="222222"/>
          <w:shd w:val="clear" w:color="auto" w:fill="FFFFFF"/>
        </w:rPr>
        <w:t xml:space="preserve"> and Reps. Higgins and Fitzpatrick)</w:t>
      </w:r>
      <w:r w:rsidR="00A43E89">
        <w:rPr>
          <w:rFonts w:asciiTheme="minorHAnsi" w:hAnsiTheme="minorHAnsi"/>
          <w:color w:val="222222"/>
          <w:shd w:val="clear" w:color="auto" w:fill="FFFFFF"/>
        </w:rPr>
        <w:t xml:space="preserve"> </w:t>
      </w:r>
      <w:r w:rsidRPr="003C257D">
        <w:rPr>
          <w:rFonts w:asciiTheme="minorHAnsi" w:hAnsiTheme="minorHAnsi"/>
          <w:color w:val="222222"/>
          <w:shd w:val="clear" w:color="auto" w:fill="FFFFFF"/>
        </w:rPr>
        <w:t xml:space="preserve"> </w:t>
      </w:r>
      <w:r w:rsidR="00004031">
        <w:rPr>
          <w:rFonts w:asciiTheme="minorHAnsi" w:hAnsiTheme="minorHAnsi"/>
          <w:color w:val="222222"/>
          <w:shd w:val="clear" w:color="auto" w:fill="FFFFFF"/>
        </w:rPr>
        <w:t xml:space="preserve">A </w:t>
      </w:r>
      <w:r w:rsidRPr="003C257D">
        <w:rPr>
          <w:rFonts w:asciiTheme="minorHAnsi" w:hAnsiTheme="minorHAnsi"/>
          <w:color w:val="222222"/>
          <w:shd w:val="clear" w:color="auto" w:fill="FFFFFF"/>
        </w:rPr>
        <w:t xml:space="preserve">bipartisan, bicameral push to reform the Supplemental Security Income (SSI) program which has not been updated in nearly 40 years and currently punishes </w:t>
      </w:r>
      <w:r w:rsidRPr="003C257D">
        <w:rPr>
          <w:rFonts w:asciiTheme="minorHAnsi" w:hAnsiTheme="minorHAnsi"/>
          <w:color w:val="222222"/>
          <w:shd w:val="clear" w:color="auto" w:fill="FFFFFF"/>
        </w:rPr>
        <w:lastRenderedPageBreak/>
        <w:t>older and disabled Americans for saving for emergencies.</w:t>
      </w:r>
      <w:r w:rsidR="000D0696" w:rsidRPr="003C257D">
        <w:rPr>
          <w:rFonts w:asciiTheme="minorHAnsi" w:hAnsiTheme="minorHAnsi"/>
          <w:color w:val="222222"/>
          <w:shd w:val="clear" w:color="auto" w:fill="FFFFFF"/>
        </w:rPr>
        <w:t xml:space="preserve"> Referred to Senate Finance and House Ways and Means Committees (9/12/23).</w:t>
      </w:r>
    </w:p>
    <w:p w14:paraId="2C965F3B" w14:textId="63126347" w:rsidR="00A43E89" w:rsidRPr="00A43E89" w:rsidRDefault="00A43E89" w:rsidP="00A43E89">
      <w:pPr>
        <w:pStyle w:val="ListParagraph"/>
        <w:numPr>
          <w:ilvl w:val="0"/>
          <w:numId w:val="10"/>
        </w:numPr>
        <w:spacing w:after="0" w:line="240" w:lineRule="auto"/>
        <w:rPr>
          <w:rFonts w:asciiTheme="minorHAnsi" w:hAnsiTheme="minorHAnsi"/>
          <w:bCs w:val="0"/>
        </w:rPr>
      </w:pPr>
      <w:r>
        <w:rPr>
          <w:rFonts w:asciiTheme="minorHAnsi" w:hAnsiTheme="minorHAnsi"/>
          <w:bCs w:val="0"/>
        </w:rPr>
        <w:t xml:space="preserve">Read the joint </w:t>
      </w:r>
      <w:hyperlink r:id="rId12" w:history="1">
        <w:r w:rsidRPr="00A43E89">
          <w:rPr>
            <w:rStyle w:val="Hyperlink"/>
            <w:rFonts w:asciiTheme="minorHAnsi" w:hAnsiTheme="minorHAnsi"/>
            <w:bCs w:val="0"/>
          </w:rPr>
          <w:t>press release</w:t>
        </w:r>
      </w:hyperlink>
      <w:r>
        <w:rPr>
          <w:rFonts w:asciiTheme="minorHAnsi" w:hAnsiTheme="minorHAnsi"/>
          <w:bCs w:val="0"/>
        </w:rPr>
        <w:t>.</w:t>
      </w:r>
    </w:p>
    <w:bookmarkEnd w:id="1"/>
    <w:p w14:paraId="3CF4ABEF" w14:textId="77777777" w:rsidR="000218C4" w:rsidRPr="003C257D" w:rsidRDefault="000218C4" w:rsidP="007C4F51">
      <w:pPr>
        <w:spacing w:after="0" w:line="240" w:lineRule="auto"/>
        <w:rPr>
          <w:rFonts w:asciiTheme="minorHAnsi" w:hAnsiTheme="minorHAnsi"/>
          <w:bCs w:val="0"/>
        </w:rPr>
      </w:pPr>
    </w:p>
    <w:p w14:paraId="140F9B11" w14:textId="2EDD5F22" w:rsidR="0008317A" w:rsidRPr="003C257D" w:rsidRDefault="001A27DE" w:rsidP="007C4F51">
      <w:pPr>
        <w:spacing w:after="0" w:line="240" w:lineRule="auto"/>
        <w:rPr>
          <w:rFonts w:asciiTheme="minorHAnsi" w:hAnsiTheme="minorHAnsi"/>
          <w:bCs w:val="0"/>
        </w:rPr>
      </w:pPr>
      <w:proofErr w:type="gramStart"/>
      <w:r w:rsidRPr="003C257D">
        <w:rPr>
          <w:rFonts w:asciiTheme="minorHAnsi" w:hAnsiTheme="minorHAnsi"/>
          <w:b/>
        </w:rPr>
        <w:t>Autism</w:t>
      </w:r>
      <w:proofErr w:type="gramEnd"/>
      <w:r w:rsidRPr="003C257D">
        <w:rPr>
          <w:rFonts w:asciiTheme="minorHAnsi" w:hAnsiTheme="minorHAnsi"/>
          <w:b/>
        </w:rPr>
        <w:t xml:space="preserve"> CARES Act</w:t>
      </w:r>
      <w:r w:rsidR="0008317A" w:rsidRPr="003C257D">
        <w:rPr>
          <w:rFonts w:asciiTheme="minorHAnsi" w:hAnsiTheme="minorHAnsi"/>
          <w:bCs w:val="0"/>
        </w:rPr>
        <w:t xml:space="preserve"> needs to be reauthorized by September 2024.  Efforts are underway by the </w:t>
      </w:r>
      <w:hyperlink r:id="rId13" w:history="1">
        <w:r w:rsidR="0008317A" w:rsidRPr="003C257D">
          <w:rPr>
            <w:rStyle w:val="Hyperlink"/>
            <w:rFonts w:asciiTheme="minorHAnsi" w:hAnsiTheme="minorHAnsi"/>
            <w:bCs w:val="0"/>
          </w:rPr>
          <w:t>Autism Society</w:t>
        </w:r>
      </w:hyperlink>
      <w:r w:rsidR="0008317A" w:rsidRPr="003C257D">
        <w:rPr>
          <w:rFonts w:asciiTheme="minorHAnsi" w:hAnsiTheme="minorHAnsi"/>
          <w:bCs w:val="0"/>
        </w:rPr>
        <w:t xml:space="preserve"> to prompt action for the reauthorization. </w:t>
      </w:r>
    </w:p>
    <w:p w14:paraId="7FCA016F" w14:textId="77777777" w:rsidR="000D0696" w:rsidRPr="003C257D" w:rsidRDefault="000D0696" w:rsidP="000D0696">
      <w:pPr>
        <w:spacing w:after="0" w:line="240" w:lineRule="auto"/>
        <w:rPr>
          <w:rFonts w:asciiTheme="minorHAnsi" w:hAnsiTheme="minorHAnsi"/>
          <w:b/>
        </w:rPr>
      </w:pPr>
    </w:p>
    <w:p w14:paraId="4843F9B5" w14:textId="77777777" w:rsidR="00AE50D2" w:rsidRDefault="000D0696" w:rsidP="000D0696">
      <w:pPr>
        <w:spacing w:after="0" w:line="240" w:lineRule="auto"/>
        <w:rPr>
          <w:rFonts w:asciiTheme="minorHAnsi" w:hAnsiTheme="minorHAnsi"/>
          <w:color w:val="333333"/>
          <w:shd w:val="clear" w:color="auto" w:fill="FFFFFF"/>
        </w:rPr>
      </w:pPr>
      <w:r w:rsidRPr="003C257D">
        <w:rPr>
          <w:rFonts w:asciiTheme="minorHAnsi" w:hAnsiTheme="minorHAnsi"/>
          <w:b/>
        </w:rPr>
        <w:t>Autism Family Caregivers Act of 2023</w:t>
      </w:r>
      <w:r w:rsidRPr="003C257D">
        <w:rPr>
          <w:rFonts w:asciiTheme="minorHAnsi" w:hAnsiTheme="minorHAnsi"/>
          <w:bCs w:val="0"/>
        </w:rPr>
        <w:t xml:space="preserve"> </w:t>
      </w:r>
      <w:hyperlink r:id="rId14" w:history="1">
        <w:r w:rsidRPr="003C257D">
          <w:rPr>
            <w:rStyle w:val="Hyperlink"/>
            <w:rFonts w:asciiTheme="minorHAnsi" w:hAnsiTheme="minorHAnsi"/>
            <w:bCs w:val="0"/>
          </w:rPr>
          <w:t>S.1333</w:t>
        </w:r>
      </w:hyperlink>
      <w:r w:rsidRPr="003C257D">
        <w:rPr>
          <w:rFonts w:asciiTheme="minorHAnsi" w:hAnsiTheme="minorHAnsi"/>
          <w:bCs w:val="0"/>
        </w:rPr>
        <w:t>/</w:t>
      </w:r>
      <w:hyperlink r:id="rId15" w:history="1">
        <w:r w:rsidRPr="003C257D">
          <w:rPr>
            <w:rStyle w:val="Hyperlink"/>
            <w:rFonts w:asciiTheme="minorHAnsi" w:hAnsiTheme="minorHAnsi"/>
            <w:bCs w:val="0"/>
          </w:rPr>
          <w:t>H.R. 2965</w:t>
        </w:r>
      </w:hyperlink>
      <w:r w:rsidRPr="003C257D">
        <w:rPr>
          <w:rFonts w:asciiTheme="minorHAnsi" w:hAnsiTheme="minorHAnsi"/>
          <w:bCs w:val="0"/>
        </w:rPr>
        <w:t xml:space="preserve"> (Sen. Menendez and Rep. Meng) </w:t>
      </w:r>
      <w:r w:rsidRPr="003C257D">
        <w:rPr>
          <w:rFonts w:asciiTheme="minorHAnsi" w:hAnsiTheme="minorHAnsi"/>
          <w:color w:val="333333"/>
          <w:shd w:val="clear" w:color="auto" w:fill="FFFFFF"/>
        </w:rPr>
        <w:t> </w:t>
      </w:r>
    </w:p>
    <w:p w14:paraId="19F9DCE6" w14:textId="28BF26E5" w:rsidR="000D0696" w:rsidRPr="003C257D" w:rsidRDefault="000D0696" w:rsidP="000D0696">
      <w:pPr>
        <w:spacing w:after="0" w:line="240" w:lineRule="auto"/>
        <w:rPr>
          <w:rFonts w:asciiTheme="minorHAnsi" w:hAnsiTheme="minorHAnsi"/>
          <w:bCs w:val="0"/>
        </w:rPr>
      </w:pPr>
      <w:r w:rsidRPr="003C257D">
        <w:rPr>
          <w:rFonts w:asciiTheme="minorHAnsi" w:hAnsiTheme="minorHAnsi"/>
          <w:color w:val="333333"/>
          <w:shd w:val="clear" w:color="auto" w:fill="FFFFFF"/>
        </w:rPr>
        <w:t>To award grants to provide evidence-based caregiver skills training to family caregivers of children with autism spectrum disorder or other developmental disabilities or delays using a Caregiver Skills Training Pilot Program.  Referred to Senate HELP and House Energy and Commerce committees (4/27/23).</w:t>
      </w:r>
    </w:p>
    <w:p w14:paraId="3FA7DDF8" w14:textId="77777777" w:rsidR="000218C4" w:rsidRPr="003C257D" w:rsidRDefault="000218C4" w:rsidP="007C4F51">
      <w:pPr>
        <w:spacing w:after="0" w:line="240" w:lineRule="auto"/>
        <w:rPr>
          <w:rFonts w:asciiTheme="minorHAnsi" w:hAnsiTheme="minorHAnsi"/>
          <w:bCs w:val="0"/>
        </w:rPr>
      </w:pPr>
    </w:p>
    <w:p w14:paraId="65419FC9" w14:textId="7CE9C5A4" w:rsidR="000B4AFD" w:rsidRPr="003C257D" w:rsidRDefault="000B4AFD" w:rsidP="007C4F51">
      <w:pPr>
        <w:spacing w:after="0" w:line="240" w:lineRule="auto"/>
        <w:rPr>
          <w:rFonts w:asciiTheme="minorHAnsi" w:hAnsiTheme="minorHAnsi"/>
          <w:bCs w:val="0"/>
        </w:rPr>
      </w:pPr>
      <w:r w:rsidRPr="003C257D">
        <w:rPr>
          <w:rFonts w:asciiTheme="minorHAnsi" w:hAnsiTheme="minorHAnsi"/>
          <w:b/>
        </w:rPr>
        <w:t xml:space="preserve">Protection and Advocacy </w:t>
      </w:r>
      <w:r w:rsidR="003C257D" w:rsidRPr="003C257D">
        <w:rPr>
          <w:rFonts w:asciiTheme="minorHAnsi" w:hAnsiTheme="minorHAnsi"/>
          <w:b/>
        </w:rPr>
        <w:t xml:space="preserve">for Student Success </w:t>
      </w:r>
      <w:r w:rsidRPr="003C257D">
        <w:rPr>
          <w:rFonts w:asciiTheme="minorHAnsi" w:hAnsiTheme="minorHAnsi"/>
          <w:b/>
        </w:rPr>
        <w:t>Act</w:t>
      </w:r>
      <w:r w:rsidRPr="003C257D">
        <w:rPr>
          <w:rFonts w:asciiTheme="minorHAnsi" w:hAnsiTheme="minorHAnsi"/>
          <w:bCs w:val="0"/>
        </w:rPr>
        <w:t xml:space="preserve"> </w:t>
      </w:r>
      <w:r w:rsidR="003C257D" w:rsidRPr="003C257D">
        <w:rPr>
          <w:rFonts w:asciiTheme="minorHAnsi" w:hAnsiTheme="minorHAnsi"/>
          <w:bCs w:val="0"/>
        </w:rPr>
        <w:t>–</w:t>
      </w:r>
      <w:r w:rsidRPr="003C257D">
        <w:rPr>
          <w:rFonts w:asciiTheme="minorHAnsi" w:hAnsiTheme="minorHAnsi"/>
          <w:bCs w:val="0"/>
        </w:rPr>
        <w:t xml:space="preserve"> </w:t>
      </w:r>
      <w:hyperlink r:id="rId16" w:history="1">
        <w:r w:rsidR="003C257D" w:rsidRPr="003C257D">
          <w:rPr>
            <w:rStyle w:val="Hyperlink"/>
            <w:rFonts w:asciiTheme="minorHAnsi" w:hAnsiTheme="minorHAnsi"/>
          </w:rPr>
          <w:t>H.R.4481</w:t>
        </w:r>
      </w:hyperlink>
      <w:r w:rsidRPr="003C257D">
        <w:rPr>
          <w:rFonts w:asciiTheme="minorHAnsi" w:hAnsiTheme="minorHAnsi"/>
          <w:bCs w:val="0"/>
        </w:rPr>
        <w:t xml:space="preserve"> (DeSaulnie</w:t>
      </w:r>
      <w:r w:rsidR="003C257D" w:rsidRPr="003C257D">
        <w:rPr>
          <w:rFonts w:asciiTheme="minorHAnsi" w:hAnsiTheme="minorHAnsi"/>
          <w:bCs w:val="0"/>
        </w:rPr>
        <w:t>r</w:t>
      </w:r>
      <w:r w:rsidRPr="003C257D">
        <w:rPr>
          <w:rFonts w:asciiTheme="minorHAnsi" w:hAnsiTheme="minorHAnsi"/>
          <w:bCs w:val="0"/>
        </w:rPr>
        <w:t>) To authorize grants to establish a national education protection and advocacy program to enforce the rights and protections under the Individuals with Disabilities Education Act, the Americans with Disabilities Act of 1990, and section 504 of the Rehabilitation Act of 1973, and for other purposes</w:t>
      </w:r>
      <w:r w:rsidR="003C257D" w:rsidRPr="003C257D">
        <w:rPr>
          <w:rFonts w:asciiTheme="minorHAnsi" w:hAnsiTheme="minorHAnsi"/>
          <w:bCs w:val="0"/>
        </w:rPr>
        <w:t>. Referred to the House Committee on Education and the Workforce</w:t>
      </w:r>
      <w:r w:rsidRPr="003C257D">
        <w:rPr>
          <w:rFonts w:asciiTheme="minorHAnsi" w:hAnsiTheme="minorHAnsi"/>
          <w:bCs w:val="0"/>
        </w:rPr>
        <w:t xml:space="preserve"> (</w:t>
      </w:r>
      <w:r w:rsidR="003C257D" w:rsidRPr="003C257D">
        <w:rPr>
          <w:rFonts w:asciiTheme="minorHAnsi" w:hAnsiTheme="minorHAnsi"/>
          <w:bCs w:val="0"/>
        </w:rPr>
        <w:t>7/6/23</w:t>
      </w:r>
      <w:r w:rsidRPr="003C257D">
        <w:rPr>
          <w:rFonts w:asciiTheme="minorHAnsi" w:hAnsiTheme="minorHAnsi"/>
          <w:bCs w:val="0"/>
        </w:rPr>
        <w:t>).</w:t>
      </w:r>
    </w:p>
    <w:p w14:paraId="27720F5D" w14:textId="77777777" w:rsidR="000B4AFD" w:rsidRPr="003C257D" w:rsidRDefault="000B4AFD" w:rsidP="007C4F51">
      <w:pPr>
        <w:spacing w:after="0"/>
        <w:rPr>
          <w:rFonts w:asciiTheme="minorHAnsi" w:eastAsia="Times New Roman" w:hAnsiTheme="minorHAnsi"/>
          <w:bCs w:val="0"/>
          <w:color w:val="333333"/>
        </w:rPr>
      </w:pPr>
    </w:p>
    <w:p w14:paraId="4B4E23B2" w14:textId="42E77460" w:rsidR="000B4AFD" w:rsidRPr="003C257D" w:rsidRDefault="000B4AFD" w:rsidP="007C4F51">
      <w:pPr>
        <w:spacing w:after="0"/>
        <w:rPr>
          <w:rFonts w:asciiTheme="minorHAnsi" w:eastAsia="Times New Roman" w:hAnsiTheme="minorHAnsi"/>
          <w:bCs w:val="0"/>
        </w:rPr>
      </w:pPr>
      <w:r w:rsidRPr="003C257D">
        <w:rPr>
          <w:rFonts w:asciiTheme="minorHAnsi" w:eastAsia="Times New Roman" w:hAnsiTheme="minorHAnsi"/>
          <w:b/>
          <w:color w:val="333333"/>
        </w:rPr>
        <w:t>Social Security Expansion Act</w:t>
      </w:r>
      <w:r w:rsidRPr="003C257D">
        <w:rPr>
          <w:rFonts w:asciiTheme="minorHAnsi" w:eastAsia="Times New Roman" w:hAnsiTheme="minorHAnsi"/>
          <w:bCs w:val="0"/>
          <w:color w:val="333333"/>
        </w:rPr>
        <w:t xml:space="preserve"> – </w:t>
      </w:r>
      <w:hyperlink r:id="rId17" w:history="1">
        <w:r w:rsidRPr="003C257D">
          <w:rPr>
            <w:rFonts w:asciiTheme="minorHAnsi" w:eastAsia="Times New Roman" w:hAnsiTheme="minorHAnsi"/>
            <w:bCs w:val="0"/>
            <w:color w:val="3366CC"/>
            <w:u w:val="single"/>
          </w:rPr>
          <w:t>H.R.1046</w:t>
        </w:r>
      </w:hyperlink>
      <w:r w:rsidRPr="003C257D">
        <w:rPr>
          <w:rFonts w:asciiTheme="minorHAnsi" w:eastAsia="Times New Roman" w:hAnsiTheme="minorHAnsi"/>
          <w:bCs w:val="0"/>
          <w:color w:val="333333"/>
        </w:rPr>
        <w:t xml:space="preserve"> / </w:t>
      </w:r>
      <w:hyperlink r:id="rId18" w:history="1">
        <w:r w:rsidRPr="003C257D">
          <w:rPr>
            <w:rFonts w:asciiTheme="minorHAnsi" w:eastAsia="Times New Roman" w:hAnsiTheme="minorHAnsi"/>
            <w:bCs w:val="0"/>
            <w:color w:val="3366CC"/>
            <w:u w:val="single"/>
          </w:rPr>
          <w:t>S.393</w:t>
        </w:r>
      </w:hyperlink>
      <w:r w:rsidRPr="003C257D">
        <w:rPr>
          <w:rFonts w:asciiTheme="minorHAnsi" w:eastAsia="Times New Roman" w:hAnsiTheme="minorHAnsi"/>
          <w:bCs w:val="0"/>
          <w:color w:val="3366CC"/>
        </w:rPr>
        <w:t xml:space="preserve"> </w:t>
      </w:r>
      <w:r w:rsidRPr="003C257D">
        <w:rPr>
          <w:rFonts w:asciiTheme="minorHAnsi" w:eastAsia="Times New Roman" w:hAnsiTheme="minorHAnsi"/>
          <w:bCs w:val="0"/>
        </w:rPr>
        <w:t>(Schakowsky and Sanders)</w:t>
      </w:r>
      <w:r w:rsidR="0014589B" w:rsidRPr="003C257D">
        <w:rPr>
          <w:rFonts w:asciiTheme="minorHAnsi" w:eastAsia="Times New Roman" w:hAnsiTheme="minorHAnsi"/>
          <w:bCs w:val="0"/>
        </w:rPr>
        <w:t xml:space="preserve"> </w:t>
      </w:r>
      <w:r w:rsidR="00F76002" w:rsidRPr="003C257D">
        <w:rPr>
          <w:rFonts w:asciiTheme="minorHAnsi" w:eastAsia="Times New Roman" w:hAnsiTheme="minorHAnsi"/>
          <w:bCs w:val="0"/>
        </w:rPr>
        <w:t>E</w:t>
      </w:r>
      <w:r w:rsidR="0014589B" w:rsidRPr="003C257D">
        <w:rPr>
          <w:rFonts w:asciiTheme="minorHAnsi" w:eastAsia="Times New Roman" w:hAnsiTheme="minorHAnsi"/>
          <w:bCs w:val="0"/>
        </w:rPr>
        <w:t>xtend</w:t>
      </w:r>
      <w:r w:rsidR="00F76002" w:rsidRPr="003C257D">
        <w:rPr>
          <w:rFonts w:asciiTheme="minorHAnsi" w:eastAsia="Times New Roman" w:hAnsiTheme="minorHAnsi"/>
          <w:bCs w:val="0"/>
        </w:rPr>
        <w:t>s</w:t>
      </w:r>
      <w:r w:rsidR="0014589B" w:rsidRPr="003C257D">
        <w:rPr>
          <w:rFonts w:asciiTheme="minorHAnsi" w:eastAsia="Times New Roman" w:hAnsiTheme="minorHAnsi"/>
          <w:bCs w:val="0"/>
        </w:rPr>
        <w:t xml:space="preserve"> the life of the Old Age, Survivors, and Disability Insurance (OASDI) </w:t>
      </w:r>
      <w:r w:rsidR="00F76002" w:rsidRPr="003C257D">
        <w:rPr>
          <w:rFonts w:asciiTheme="minorHAnsi" w:eastAsia="Times New Roman" w:hAnsiTheme="minorHAnsi"/>
          <w:bCs w:val="0"/>
        </w:rPr>
        <w:t>for the next 75 years while requiring payroll taxes on incomes of $250,000 and above, and for other purposes</w:t>
      </w:r>
      <w:r w:rsidR="003C257D" w:rsidRPr="003C257D">
        <w:rPr>
          <w:rFonts w:asciiTheme="minorHAnsi" w:eastAsia="Times New Roman" w:hAnsiTheme="minorHAnsi"/>
          <w:bCs w:val="0"/>
        </w:rPr>
        <w:t>. R</w:t>
      </w:r>
      <w:r w:rsidR="00F76002" w:rsidRPr="003C257D">
        <w:rPr>
          <w:rFonts w:asciiTheme="minorHAnsi" w:eastAsia="Times New Roman" w:hAnsiTheme="minorHAnsi"/>
          <w:bCs w:val="0"/>
        </w:rPr>
        <w:t>eferred to Ways and Means, Education and the Workforce, and Transportation and Infrastructure in the House; Committee on Finance in the Senate</w:t>
      </w:r>
      <w:r w:rsidR="003C257D" w:rsidRPr="003C257D">
        <w:rPr>
          <w:rFonts w:asciiTheme="minorHAnsi" w:eastAsia="Times New Roman" w:hAnsiTheme="minorHAnsi"/>
          <w:bCs w:val="0"/>
        </w:rPr>
        <w:t xml:space="preserve"> (2/13/23)</w:t>
      </w:r>
      <w:r w:rsidR="00F76002" w:rsidRPr="003C257D">
        <w:rPr>
          <w:rFonts w:asciiTheme="minorHAnsi" w:eastAsia="Times New Roman" w:hAnsiTheme="minorHAnsi"/>
          <w:bCs w:val="0"/>
        </w:rPr>
        <w:t xml:space="preserve">. </w:t>
      </w:r>
    </w:p>
    <w:p w14:paraId="061C8308" w14:textId="62C348B9" w:rsidR="00ED54EC" w:rsidRPr="003C257D" w:rsidRDefault="00ED54EC" w:rsidP="007C4F51">
      <w:pPr>
        <w:pStyle w:val="ListParagraph"/>
        <w:numPr>
          <w:ilvl w:val="0"/>
          <w:numId w:val="1"/>
        </w:numPr>
        <w:spacing w:after="0"/>
        <w:rPr>
          <w:rFonts w:asciiTheme="minorHAnsi" w:eastAsia="Times New Roman" w:hAnsiTheme="minorHAnsi"/>
          <w:bCs w:val="0"/>
        </w:rPr>
      </w:pPr>
      <w:r w:rsidRPr="003C257D">
        <w:rPr>
          <w:rFonts w:asciiTheme="minorHAnsi" w:eastAsia="Times New Roman" w:hAnsiTheme="minorHAnsi"/>
          <w:bCs w:val="0"/>
        </w:rPr>
        <w:t xml:space="preserve">Read the </w:t>
      </w:r>
      <w:hyperlink r:id="rId19" w:history="1">
        <w:r w:rsidRPr="003C257D">
          <w:rPr>
            <w:rStyle w:val="Hyperlink"/>
            <w:rFonts w:asciiTheme="minorHAnsi" w:eastAsia="Times New Roman" w:hAnsiTheme="minorHAnsi"/>
            <w:bCs w:val="0"/>
          </w:rPr>
          <w:t>fact sheet</w:t>
        </w:r>
      </w:hyperlink>
      <w:r w:rsidRPr="003C257D">
        <w:rPr>
          <w:rFonts w:asciiTheme="minorHAnsi" w:eastAsia="Times New Roman" w:hAnsiTheme="minorHAnsi"/>
          <w:bCs w:val="0"/>
        </w:rPr>
        <w:t xml:space="preserve"> published by Senator Sanders’s office</w:t>
      </w:r>
    </w:p>
    <w:p w14:paraId="78C9DBC9" w14:textId="07016F3A" w:rsidR="00ED54EC" w:rsidRPr="003C257D" w:rsidRDefault="00ED54EC" w:rsidP="007C4F51">
      <w:pPr>
        <w:pStyle w:val="ListParagraph"/>
        <w:numPr>
          <w:ilvl w:val="0"/>
          <w:numId w:val="1"/>
        </w:numPr>
        <w:spacing w:after="0"/>
        <w:rPr>
          <w:rFonts w:asciiTheme="minorHAnsi" w:eastAsia="Times New Roman" w:hAnsiTheme="minorHAnsi"/>
          <w:bCs w:val="0"/>
        </w:rPr>
      </w:pPr>
      <w:r w:rsidRPr="003C257D">
        <w:rPr>
          <w:rFonts w:asciiTheme="minorHAnsi" w:eastAsia="Times New Roman" w:hAnsiTheme="minorHAnsi"/>
          <w:bCs w:val="0"/>
        </w:rPr>
        <w:t xml:space="preserve">Read the </w:t>
      </w:r>
      <w:hyperlink r:id="rId20" w:history="1">
        <w:r w:rsidRPr="003C257D">
          <w:rPr>
            <w:rStyle w:val="Hyperlink"/>
            <w:rFonts w:asciiTheme="minorHAnsi" w:eastAsia="Times New Roman" w:hAnsiTheme="minorHAnsi"/>
            <w:bCs w:val="0"/>
          </w:rPr>
          <w:t>analysis</w:t>
        </w:r>
      </w:hyperlink>
      <w:r w:rsidRPr="003C257D">
        <w:rPr>
          <w:rFonts w:asciiTheme="minorHAnsi" w:eastAsia="Times New Roman" w:hAnsiTheme="minorHAnsi"/>
          <w:bCs w:val="0"/>
        </w:rPr>
        <w:t xml:space="preserve"> by the SSA</w:t>
      </w:r>
    </w:p>
    <w:p w14:paraId="5D14B9A5" w14:textId="571FC4B4" w:rsidR="0014589B" w:rsidRPr="003C257D" w:rsidRDefault="0014589B" w:rsidP="007C4F51">
      <w:pPr>
        <w:pStyle w:val="ListParagraph"/>
        <w:numPr>
          <w:ilvl w:val="0"/>
          <w:numId w:val="1"/>
        </w:numPr>
        <w:spacing w:after="0"/>
        <w:rPr>
          <w:rFonts w:asciiTheme="minorHAnsi" w:eastAsia="Times New Roman" w:hAnsiTheme="minorHAnsi"/>
          <w:bCs w:val="0"/>
        </w:rPr>
      </w:pPr>
      <w:r w:rsidRPr="003C257D">
        <w:rPr>
          <w:rFonts w:asciiTheme="minorHAnsi" w:eastAsia="Times New Roman" w:hAnsiTheme="minorHAnsi"/>
          <w:bCs w:val="0"/>
        </w:rPr>
        <w:t xml:space="preserve">Read an </w:t>
      </w:r>
      <w:hyperlink r:id="rId21" w:history="1">
        <w:r w:rsidRPr="003C257D">
          <w:rPr>
            <w:rStyle w:val="Hyperlink"/>
            <w:rFonts w:asciiTheme="minorHAnsi" w:eastAsia="Times New Roman" w:hAnsiTheme="minorHAnsi"/>
            <w:bCs w:val="0"/>
          </w:rPr>
          <w:t>opinion piece</w:t>
        </w:r>
      </w:hyperlink>
      <w:r w:rsidRPr="003C257D">
        <w:rPr>
          <w:rFonts w:asciiTheme="minorHAnsi" w:eastAsia="Times New Roman" w:hAnsiTheme="minorHAnsi"/>
          <w:bCs w:val="0"/>
        </w:rPr>
        <w:t xml:space="preserve"> published in </w:t>
      </w:r>
      <w:r w:rsidRPr="003C257D">
        <w:rPr>
          <w:rFonts w:asciiTheme="minorHAnsi" w:eastAsia="Times New Roman" w:hAnsiTheme="minorHAnsi"/>
          <w:bCs w:val="0"/>
          <w:i/>
          <w:iCs/>
        </w:rPr>
        <w:t>The Hill</w:t>
      </w:r>
      <w:r w:rsidRPr="003C257D">
        <w:rPr>
          <w:rFonts w:asciiTheme="minorHAnsi" w:eastAsia="Times New Roman" w:hAnsiTheme="minorHAnsi"/>
          <w:bCs w:val="0"/>
        </w:rPr>
        <w:t xml:space="preserve"> newspaper</w:t>
      </w:r>
    </w:p>
    <w:p w14:paraId="450985E4" w14:textId="77777777" w:rsidR="007C4F51" w:rsidRPr="003C257D" w:rsidRDefault="007C4F51" w:rsidP="007C4F51">
      <w:pPr>
        <w:spacing w:after="0"/>
        <w:rPr>
          <w:rFonts w:asciiTheme="minorHAnsi" w:eastAsia="Times New Roman" w:hAnsiTheme="minorHAnsi"/>
          <w:b/>
          <w:color w:val="333333"/>
        </w:rPr>
      </w:pPr>
    </w:p>
    <w:p w14:paraId="0CD1B46C" w14:textId="169DB7AF" w:rsidR="004D3849" w:rsidRPr="003C257D" w:rsidRDefault="00F76002" w:rsidP="007C4F51">
      <w:pPr>
        <w:spacing w:after="0"/>
        <w:rPr>
          <w:rFonts w:asciiTheme="minorHAnsi" w:eastAsia="Times New Roman" w:hAnsiTheme="minorHAnsi"/>
          <w:bCs w:val="0"/>
        </w:rPr>
      </w:pPr>
      <w:r w:rsidRPr="003C257D">
        <w:rPr>
          <w:rFonts w:asciiTheme="minorHAnsi" w:eastAsia="Times New Roman" w:hAnsiTheme="minorHAnsi"/>
          <w:b/>
          <w:color w:val="333333"/>
        </w:rPr>
        <w:t xml:space="preserve">Stop the Wait Act of 2023 – </w:t>
      </w:r>
      <w:hyperlink r:id="rId22" w:history="1">
        <w:r w:rsidRPr="003C257D">
          <w:rPr>
            <w:rFonts w:asciiTheme="minorHAnsi" w:eastAsia="Times New Roman" w:hAnsiTheme="minorHAnsi"/>
            <w:bCs w:val="0"/>
            <w:color w:val="3366CC"/>
            <w:u w:val="single"/>
          </w:rPr>
          <w:t>H.R.883</w:t>
        </w:r>
      </w:hyperlink>
      <w:r w:rsidRPr="003C257D">
        <w:rPr>
          <w:rFonts w:asciiTheme="minorHAnsi" w:eastAsia="Times New Roman" w:hAnsiTheme="minorHAnsi"/>
          <w:bCs w:val="0"/>
          <w:color w:val="3366CC"/>
          <w:u w:val="single"/>
        </w:rPr>
        <w:t xml:space="preserve">/ </w:t>
      </w:r>
      <w:hyperlink r:id="rId23" w:history="1">
        <w:r w:rsidRPr="003C257D">
          <w:rPr>
            <w:rFonts w:asciiTheme="minorHAnsi" w:eastAsia="Times New Roman" w:hAnsiTheme="minorHAnsi"/>
            <w:bCs w:val="0"/>
            <w:color w:val="3366CC"/>
            <w:u w:val="single"/>
          </w:rPr>
          <w:t>S.320</w:t>
        </w:r>
      </w:hyperlink>
      <w:r w:rsidRPr="003C257D">
        <w:rPr>
          <w:rFonts w:asciiTheme="minorHAnsi" w:eastAsia="Times New Roman" w:hAnsiTheme="minorHAnsi"/>
          <w:bCs w:val="0"/>
        </w:rPr>
        <w:t xml:space="preserve"> (Doggett and Casey) </w:t>
      </w:r>
      <w:r w:rsidR="00632D75" w:rsidRPr="003C257D">
        <w:rPr>
          <w:rFonts w:asciiTheme="minorHAnsi" w:hAnsiTheme="minorHAnsi"/>
          <w:shd w:val="clear" w:color="auto" w:fill="FFFFFF"/>
        </w:rPr>
        <w:t>D</w:t>
      </w:r>
      <w:r w:rsidR="00EE201A" w:rsidRPr="003C257D">
        <w:rPr>
          <w:rFonts w:asciiTheme="minorHAnsi" w:hAnsiTheme="minorHAnsi"/>
          <w:shd w:val="clear" w:color="auto" w:fill="FFFFFF"/>
        </w:rPr>
        <w:t>irects the Social Security Administration to phase out the five-month waiting period to receive SSDI benefits and allow those who are uninsured or unable to afford health insurance to immediately receive Medicare coverage</w:t>
      </w:r>
      <w:r w:rsidR="003C257D" w:rsidRPr="003C257D">
        <w:rPr>
          <w:rFonts w:asciiTheme="minorHAnsi" w:hAnsiTheme="minorHAnsi"/>
          <w:shd w:val="clear" w:color="auto" w:fill="FFFFFF"/>
        </w:rPr>
        <w:t>. R</w:t>
      </w:r>
      <w:r w:rsidR="00632D75" w:rsidRPr="003C257D">
        <w:rPr>
          <w:rFonts w:asciiTheme="minorHAnsi" w:hAnsiTheme="minorHAnsi"/>
          <w:shd w:val="clear" w:color="auto" w:fill="FFFFFF"/>
        </w:rPr>
        <w:t>eferred to the Ways and Means and Energy and Commerce in the House and Finance in the Senate</w:t>
      </w:r>
      <w:r w:rsidR="003C257D" w:rsidRPr="003C257D">
        <w:rPr>
          <w:rFonts w:asciiTheme="minorHAnsi" w:hAnsiTheme="minorHAnsi"/>
          <w:shd w:val="clear" w:color="auto" w:fill="FFFFFF"/>
        </w:rPr>
        <w:t xml:space="preserve"> (2/9/23)</w:t>
      </w:r>
      <w:r w:rsidR="00632D75" w:rsidRPr="003C257D">
        <w:rPr>
          <w:rFonts w:asciiTheme="minorHAnsi" w:hAnsiTheme="minorHAnsi"/>
          <w:shd w:val="clear" w:color="auto" w:fill="FFFFFF"/>
        </w:rPr>
        <w:t>.</w:t>
      </w:r>
      <w:r w:rsidR="00EE201A" w:rsidRPr="003C257D">
        <w:rPr>
          <w:rFonts w:asciiTheme="minorHAnsi" w:hAnsiTheme="minorHAnsi"/>
          <w:shd w:val="clear" w:color="auto" w:fill="FFFFFF"/>
        </w:rPr>
        <w:t xml:space="preserve"> </w:t>
      </w:r>
    </w:p>
    <w:p w14:paraId="4B31AE2A" w14:textId="03E387F2" w:rsidR="00EE201A" w:rsidRPr="003C257D" w:rsidRDefault="00D520B0" w:rsidP="007C4F51">
      <w:pPr>
        <w:pStyle w:val="ListParagraph"/>
        <w:numPr>
          <w:ilvl w:val="0"/>
          <w:numId w:val="8"/>
        </w:numPr>
        <w:spacing w:after="0"/>
        <w:rPr>
          <w:rFonts w:asciiTheme="minorHAnsi" w:eastAsia="Times New Roman" w:hAnsiTheme="minorHAnsi"/>
          <w:bCs w:val="0"/>
        </w:rPr>
      </w:pPr>
      <w:r w:rsidRPr="003C257D">
        <w:rPr>
          <w:rFonts w:asciiTheme="minorHAnsi" w:eastAsia="Times New Roman" w:hAnsiTheme="minorHAnsi"/>
          <w:bCs w:val="0"/>
        </w:rPr>
        <w:t xml:space="preserve">Read more about the bill and its </w:t>
      </w:r>
      <w:hyperlink r:id="rId24" w:history="1">
        <w:r w:rsidRPr="003C257D">
          <w:rPr>
            <w:rStyle w:val="Hyperlink"/>
            <w:rFonts w:asciiTheme="minorHAnsi" w:eastAsia="Times New Roman" w:hAnsiTheme="minorHAnsi"/>
            <w:bCs w:val="0"/>
          </w:rPr>
          <w:t>supporters</w:t>
        </w:r>
      </w:hyperlink>
    </w:p>
    <w:p w14:paraId="6D914660" w14:textId="77777777" w:rsidR="007C4F51" w:rsidRPr="003C257D" w:rsidRDefault="007C4F51" w:rsidP="007C4F51">
      <w:pPr>
        <w:spacing w:after="0"/>
        <w:rPr>
          <w:rFonts w:asciiTheme="minorHAnsi" w:eastAsia="Times New Roman" w:hAnsiTheme="minorHAnsi"/>
          <w:b/>
        </w:rPr>
      </w:pPr>
    </w:p>
    <w:p w14:paraId="54FFDCF7" w14:textId="4A5741C3" w:rsidR="00EE201A" w:rsidRPr="003C257D" w:rsidRDefault="00632D75" w:rsidP="007C4F51">
      <w:pPr>
        <w:spacing w:after="0"/>
        <w:rPr>
          <w:rFonts w:asciiTheme="minorHAnsi" w:eastAsia="Times New Roman" w:hAnsiTheme="minorHAnsi"/>
          <w:b/>
        </w:rPr>
      </w:pPr>
      <w:r w:rsidRPr="003C257D">
        <w:rPr>
          <w:rFonts w:asciiTheme="minorHAnsi" w:eastAsia="Times New Roman" w:hAnsiTheme="minorHAnsi"/>
          <w:b/>
        </w:rPr>
        <w:t xml:space="preserve">Social Security Fairness Act of 2023 – </w:t>
      </w:r>
      <w:hyperlink r:id="rId25" w:history="1">
        <w:r w:rsidRPr="003C257D">
          <w:rPr>
            <w:rFonts w:asciiTheme="minorHAnsi" w:eastAsia="Times New Roman" w:hAnsiTheme="minorHAnsi"/>
            <w:bCs w:val="0"/>
            <w:color w:val="3366CC"/>
            <w:u w:val="single"/>
          </w:rPr>
          <w:t>H.R.82</w:t>
        </w:r>
      </w:hyperlink>
      <w:r w:rsidRPr="003C257D">
        <w:rPr>
          <w:rFonts w:asciiTheme="minorHAnsi" w:eastAsia="Times New Roman" w:hAnsiTheme="minorHAnsi"/>
          <w:bCs w:val="0"/>
          <w:color w:val="333333"/>
        </w:rPr>
        <w:t xml:space="preserve"> / </w:t>
      </w:r>
      <w:hyperlink r:id="rId26" w:history="1">
        <w:r w:rsidRPr="003C257D">
          <w:rPr>
            <w:rFonts w:asciiTheme="minorHAnsi" w:eastAsia="Times New Roman" w:hAnsiTheme="minorHAnsi"/>
            <w:bCs w:val="0"/>
            <w:color w:val="3366CC"/>
            <w:u w:val="single"/>
          </w:rPr>
          <w:t>S.597</w:t>
        </w:r>
      </w:hyperlink>
      <w:r w:rsidRPr="003C257D">
        <w:rPr>
          <w:rFonts w:asciiTheme="minorHAnsi" w:eastAsia="Times New Roman" w:hAnsiTheme="minorHAnsi"/>
          <w:bCs w:val="0"/>
        </w:rPr>
        <w:t xml:space="preserve"> (Graves and Brown) Amends the</w:t>
      </w:r>
      <w:r w:rsidRPr="003C257D">
        <w:rPr>
          <w:rFonts w:asciiTheme="minorHAnsi" w:eastAsia="Times New Roman" w:hAnsiTheme="minorHAnsi"/>
        </w:rPr>
        <w:t> Social Security Act to repeal the government pension offset and windfall elimination provisions</w:t>
      </w:r>
      <w:r w:rsidR="003C257D" w:rsidRPr="003C257D">
        <w:rPr>
          <w:rFonts w:asciiTheme="minorHAnsi" w:hAnsiTheme="minorHAnsi"/>
          <w:color w:val="191918"/>
          <w:shd w:val="clear" w:color="auto" w:fill="FFFFFF"/>
        </w:rPr>
        <w:t>. R</w:t>
      </w:r>
      <w:r w:rsidRPr="003C257D">
        <w:rPr>
          <w:rFonts w:asciiTheme="minorHAnsi" w:hAnsiTheme="minorHAnsi"/>
          <w:color w:val="191918"/>
          <w:shd w:val="clear" w:color="auto" w:fill="FFFFFF"/>
        </w:rPr>
        <w:t>eferred to Ways and Means in the House and Finance in the Senate</w:t>
      </w:r>
      <w:r w:rsidR="003C257D" w:rsidRPr="003C257D">
        <w:rPr>
          <w:rFonts w:asciiTheme="minorHAnsi" w:hAnsiTheme="minorHAnsi"/>
          <w:color w:val="191918"/>
          <w:shd w:val="clear" w:color="auto" w:fill="FFFFFF"/>
        </w:rPr>
        <w:t xml:space="preserve"> (1/9/23)</w:t>
      </w:r>
      <w:r w:rsidRPr="003C257D">
        <w:rPr>
          <w:rFonts w:asciiTheme="minorHAnsi" w:hAnsiTheme="minorHAnsi"/>
          <w:color w:val="191918"/>
          <w:shd w:val="clear" w:color="auto" w:fill="FFFFFF"/>
        </w:rPr>
        <w:t>. </w:t>
      </w:r>
    </w:p>
    <w:p w14:paraId="0495937C" w14:textId="77777777" w:rsidR="007C4F51" w:rsidRPr="003C257D" w:rsidRDefault="007C4F51" w:rsidP="007C4F51">
      <w:pPr>
        <w:spacing w:after="0"/>
        <w:rPr>
          <w:rFonts w:asciiTheme="minorHAnsi" w:eastAsia="Times New Roman" w:hAnsiTheme="minorHAnsi"/>
          <w:b/>
        </w:rPr>
      </w:pPr>
    </w:p>
    <w:p w14:paraId="6C81AFB0" w14:textId="64F27083" w:rsidR="00ED5A60" w:rsidRPr="003C257D" w:rsidRDefault="00403927" w:rsidP="007C4F51">
      <w:pPr>
        <w:spacing w:after="0"/>
        <w:rPr>
          <w:rFonts w:asciiTheme="minorHAnsi" w:eastAsia="Times New Roman" w:hAnsiTheme="minorHAnsi"/>
          <w:bCs w:val="0"/>
          <w:color w:val="333333"/>
        </w:rPr>
      </w:pPr>
      <w:r w:rsidRPr="003C257D">
        <w:rPr>
          <w:rFonts w:asciiTheme="minorHAnsi" w:eastAsia="Times New Roman" w:hAnsiTheme="minorHAnsi"/>
          <w:b/>
        </w:rPr>
        <w:t>Fair COLA for Seniors Act of 2023</w:t>
      </w:r>
      <w:r w:rsidRPr="003C257D">
        <w:rPr>
          <w:rFonts w:asciiTheme="minorHAnsi" w:eastAsia="Times New Roman" w:hAnsiTheme="minorHAnsi"/>
          <w:bCs w:val="0"/>
        </w:rPr>
        <w:t xml:space="preserve"> – </w:t>
      </w:r>
      <w:hyperlink r:id="rId27" w:history="1">
        <w:r w:rsidRPr="003C257D">
          <w:rPr>
            <w:rFonts w:asciiTheme="minorHAnsi" w:eastAsia="Times New Roman" w:hAnsiTheme="minorHAnsi"/>
            <w:bCs w:val="0"/>
            <w:color w:val="3366CC"/>
            <w:u w:val="single"/>
          </w:rPr>
          <w:t>H.R.716</w:t>
        </w:r>
      </w:hyperlink>
      <w:r w:rsidRPr="003C257D">
        <w:rPr>
          <w:rFonts w:asciiTheme="minorHAnsi" w:eastAsia="Times New Roman" w:hAnsiTheme="minorHAnsi"/>
          <w:bCs w:val="0"/>
        </w:rPr>
        <w:t xml:space="preserve"> (Garamendi) R</w:t>
      </w:r>
      <w:r w:rsidRPr="003C257D">
        <w:rPr>
          <w:rFonts w:asciiTheme="minorHAnsi" w:eastAsia="Times New Roman" w:hAnsiTheme="minorHAnsi"/>
        </w:rPr>
        <w:t>equires Social Security to use the Consumer Price Index for the Elderly (CPI-E) to calculate a fairer cost of living adjustment (COLA) for seniors</w:t>
      </w:r>
      <w:r w:rsidRPr="003C257D">
        <w:rPr>
          <w:rFonts w:asciiTheme="minorHAnsi" w:hAnsiTheme="minorHAnsi"/>
          <w:color w:val="333333"/>
          <w:shd w:val="clear" w:color="auto" w:fill="FFFFFF"/>
        </w:rPr>
        <w:t xml:space="preserve">. The Bureau of Labor Statistics of the Department of Labor must publish that </w:t>
      </w:r>
      <w:r w:rsidRPr="003C257D">
        <w:rPr>
          <w:rFonts w:asciiTheme="minorHAnsi" w:hAnsiTheme="minorHAnsi"/>
          <w:color w:val="333333"/>
          <w:shd w:val="clear" w:color="auto" w:fill="FFFFFF"/>
        </w:rPr>
        <w:lastRenderedPageBreak/>
        <w:t>price </w:t>
      </w:r>
      <w:r w:rsidRPr="003C257D">
        <w:rPr>
          <w:rFonts w:asciiTheme="minorHAnsi" w:hAnsiTheme="minorHAnsi"/>
        </w:rPr>
        <w:t>in</w:t>
      </w:r>
      <w:r w:rsidRPr="003C257D">
        <w:rPr>
          <w:rFonts w:asciiTheme="minorHAnsi" w:hAnsiTheme="minorHAnsi"/>
          <w:color w:val="333333"/>
          <w:shd w:val="clear" w:color="auto" w:fill="FFFFFF"/>
        </w:rPr>
        <w:t xml:space="preserve">dex </w:t>
      </w:r>
      <w:r w:rsidR="0011441B" w:rsidRPr="003C257D">
        <w:rPr>
          <w:rFonts w:asciiTheme="minorHAnsi" w:hAnsiTheme="minorHAnsi"/>
          <w:color w:val="333333"/>
          <w:shd w:val="clear" w:color="auto" w:fill="FFFFFF"/>
        </w:rPr>
        <w:t>monthly</w:t>
      </w:r>
      <w:r w:rsidR="003C257D" w:rsidRPr="003C257D">
        <w:rPr>
          <w:rFonts w:asciiTheme="minorHAnsi" w:hAnsiTheme="minorHAnsi"/>
          <w:color w:val="333333"/>
          <w:shd w:val="clear" w:color="auto" w:fill="FFFFFF"/>
        </w:rPr>
        <w:t>. R</w:t>
      </w:r>
      <w:r w:rsidRPr="003C257D">
        <w:rPr>
          <w:rFonts w:asciiTheme="minorHAnsi" w:eastAsia="Times New Roman" w:hAnsiTheme="minorHAnsi"/>
          <w:bCs w:val="0"/>
        </w:rPr>
        <w:t xml:space="preserve">eferred to </w:t>
      </w:r>
      <w:r w:rsidRPr="003C257D">
        <w:rPr>
          <w:rFonts w:asciiTheme="minorHAnsi" w:eastAsia="Times New Roman" w:hAnsiTheme="minorHAnsi"/>
          <w:bCs w:val="0"/>
          <w:color w:val="333333"/>
        </w:rPr>
        <w:t>Ways and Means; Veterans' Affairs; Oversight and Accountability</w:t>
      </w:r>
      <w:r w:rsidR="003C257D" w:rsidRPr="003C257D">
        <w:rPr>
          <w:rFonts w:asciiTheme="minorHAnsi" w:eastAsia="Times New Roman" w:hAnsiTheme="minorHAnsi"/>
          <w:bCs w:val="0"/>
          <w:color w:val="333333"/>
        </w:rPr>
        <w:t xml:space="preserve"> (2/1/23)</w:t>
      </w:r>
      <w:r w:rsidR="00ED5A60" w:rsidRPr="003C257D">
        <w:rPr>
          <w:rFonts w:asciiTheme="minorHAnsi" w:eastAsia="Times New Roman" w:hAnsiTheme="minorHAnsi"/>
          <w:bCs w:val="0"/>
          <w:color w:val="333333"/>
        </w:rPr>
        <w:t>.</w:t>
      </w:r>
      <w:r w:rsidRPr="003C257D">
        <w:rPr>
          <w:rFonts w:asciiTheme="minorHAnsi" w:eastAsia="Times New Roman" w:hAnsiTheme="minorHAnsi"/>
          <w:bCs w:val="0"/>
          <w:color w:val="333333"/>
        </w:rPr>
        <w:t xml:space="preserve"> </w:t>
      </w:r>
    </w:p>
    <w:p w14:paraId="0A559D33" w14:textId="3A1B0F73" w:rsidR="00ED5A60" w:rsidRPr="003C257D" w:rsidRDefault="00ED5A60" w:rsidP="007C4F51">
      <w:pPr>
        <w:pStyle w:val="ListParagraph"/>
        <w:numPr>
          <w:ilvl w:val="0"/>
          <w:numId w:val="8"/>
        </w:numPr>
        <w:spacing w:after="0"/>
        <w:rPr>
          <w:rFonts w:asciiTheme="minorHAnsi" w:eastAsia="Times New Roman" w:hAnsiTheme="minorHAnsi"/>
          <w:bCs w:val="0"/>
          <w:color w:val="333333"/>
        </w:rPr>
      </w:pPr>
      <w:r w:rsidRPr="003C257D">
        <w:rPr>
          <w:rFonts w:asciiTheme="minorHAnsi" w:eastAsia="Times New Roman" w:hAnsiTheme="minorHAnsi"/>
          <w:bCs w:val="0"/>
          <w:color w:val="333333"/>
        </w:rPr>
        <w:t xml:space="preserve">Read about the </w:t>
      </w:r>
      <w:hyperlink r:id="rId28" w:history="1">
        <w:r w:rsidRPr="003C257D">
          <w:rPr>
            <w:rStyle w:val="Hyperlink"/>
            <w:rFonts w:asciiTheme="minorHAnsi" w:eastAsia="Times New Roman" w:hAnsiTheme="minorHAnsi"/>
            <w:bCs w:val="0"/>
          </w:rPr>
          <w:t>Consumer Price Index for the Elderly</w:t>
        </w:r>
      </w:hyperlink>
    </w:p>
    <w:p w14:paraId="4E2B3918" w14:textId="77777777" w:rsidR="007C4F51" w:rsidRPr="003C257D" w:rsidRDefault="007C4F51" w:rsidP="007C4F51">
      <w:pPr>
        <w:spacing w:after="0"/>
        <w:rPr>
          <w:rStyle w:val="result-title"/>
          <w:rFonts w:asciiTheme="minorHAnsi" w:hAnsiTheme="minorHAnsi"/>
          <w:b/>
          <w:bCs w:val="0"/>
          <w:color w:val="333333"/>
          <w:shd w:val="clear" w:color="auto" w:fill="FFFFFF"/>
        </w:rPr>
      </w:pPr>
    </w:p>
    <w:p w14:paraId="3C02D4DA" w14:textId="6B3A1EDD" w:rsidR="00EE201A" w:rsidRPr="003C257D" w:rsidRDefault="00ED5A60" w:rsidP="007C4F51">
      <w:pPr>
        <w:spacing w:after="0"/>
        <w:rPr>
          <w:rStyle w:val="result-title"/>
          <w:rFonts w:asciiTheme="minorHAnsi" w:hAnsiTheme="minorHAnsi"/>
          <w:color w:val="333333"/>
          <w:shd w:val="clear" w:color="auto" w:fill="FFFFFF"/>
        </w:rPr>
      </w:pPr>
      <w:r w:rsidRPr="003C257D">
        <w:rPr>
          <w:rStyle w:val="result-title"/>
          <w:rFonts w:asciiTheme="minorHAnsi" w:hAnsiTheme="minorHAnsi"/>
          <w:b/>
          <w:bCs w:val="0"/>
          <w:color w:val="333333"/>
          <w:shd w:val="clear" w:color="auto" w:fill="FFFFFF"/>
        </w:rPr>
        <w:t>Protecting Health Care for All Patients Act of 2023</w:t>
      </w:r>
      <w:r w:rsidRPr="003C257D">
        <w:rPr>
          <w:rStyle w:val="result-title"/>
          <w:rFonts w:asciiTheme="minorHAnsi" w:hAnsiTheme="minorHAnsi"/>
          <w:color w:val="333333"/>
          <w:shd w:val="clear" w:color="auto" w:fill="FFFFFF"/>
        </w:rPr>
        <w:t xml:space="preserve"> – </w:t>
      </w:r>
      <w:hyperlink r:id="rId29" w:history="1">
        <w:r w:rsidRPr="003C257D">
          <w:rPr>
            <w:rStyle w:val="Hyperlink"/>
            <w:rFonts w:asciiTheme="minorHAnsi" w:hAnsiTheme="minorHAnsi"/>
            <w:shd w:val="clear" w:color="auto" w:fill="FFFFFF"/>
          </w:rPr>
          <w:t>H.R.485</w:t>
        </w:r>
      </w:hyperlink>
      <w:r w:rsidRPr="003C257D">
        <w:rPr>
          <w:rStyle w:val="result-title"/>
          <w:rFonts w:asciiTheme="minorHAnsi" w:hAnsiTheme="minorHAnsi"/>
          <w:color w:val="333333"/>
          <w:shd w:val="clear" w:color="auto" w:fill="FFFFFF"/>
        </w:rPr>
        <w:t xml:space="preserve"> (McMorris Rodgers) Amends the Social Security </w:t>
      </w:r>
      <w:r w:rsidR="00E47266" w:rsidRPr="003C257D">
        <w:rPr>
          <w:rStyle w:val="result-title"/>
          <w:rFonts w:asciiTheme="minorHAnsi" w:hAnsiTheme="minorHAnsi"/>
          <w:color w:val="333333"/>
          <w:shd w:val="clear" w:color="auto" w:fill="FFFFFF"/>
        </w:rPr>
        <w:t>Act</w:t>
      </w:r>
      <w:r w:rsidRPr="003C257D">
        <w:rPr>
          <w:rStyle w:val="result-title"/>
          <w:rFonts w:asciiTheme="minorHAnsi" w:hAnsiTheme="minorHAnsi"/>
          <w:color w:val="333333"/>
          <w:shd w:val="clear" w:color="auto" w:fill="FFFFFF"/>
        </w:rPr>
        <w:t xml:space="preserve"> to prohibit the use of quality-adjusted life years (QALYs) and similar measures in coverage and payment determinations under Federal health care programs (introduced 1/24/23, referred to Energy and Commerce and Ways and Means; on 3/8/23, forwarded by </w:t>
      </w:r>
      <w:r w:rsidR="00501584" w:rsidRPr="003C257D">
        <w:rPr>
          <w:rStyle w:val="result-title"/>
          <w:rFonts w:asciiTheme="minorHAnsi" w:hAnsiTheme="minorHAnsi"/>
          <w:color w:val="333333"/>
          <w:shd w:val="clear" w:color="auto" w:fill="FFFFFF"/>
        </w:rPr>
        <w:t>Energy and Commerce S</w:t>
      </w:r>
      <w:r w:rsidRPr="003C257D">
        <w:rPr>
          <w:rStyle w:val="result-title"/>
          <w:rFonts w:asciiTheme="minorHAnsi" w:hAnsiTheme="minorHAnsi"/>
          <w:color w:val="333333"/>
          <w:shd w:val="clear" w:color="auto" w:fill="FFFFFF"/>
        </w:rPr>
        <w:t>ubcommittee</w:t>
      </w:r>
      <w:r w:rsidR="00501584" w:rsidRPr="003C257D">
        <w:rPr>
          <w:rStyle w:val="result-title"/>
          <w:rFonts w:asciiTheme="minorHAnsi" w:hAnsiTheme="minorHAnsi"/>
          <w:color w:val="333333"/>
          <w:shd w:val="clear" w:color="auto" w:fill="FFFFFF"/>
        </w:rPr>
        <w:t xml:space="preserve"> on Health</w:t>
      </w:r>
      <w:r w:rsidRPr="003C257D">
        <w:rPr>
          <w:rStyle w:val="result-title"/>
          <w:rFonts w:asciiTheme="minorHAnsi" w:hAnsiTheme="minorHAnsi"/>
          <w:color w:val="333333"/>
          <w:shd w:val="clear" w:color="auto" w:fill="FFFFFF"/>
        </w:rPr>
        <w:t xml:space="preserve"> to </w:t>
      </w:r>
      <w:r w:rsidR="00501584" w:rsidRPr="003C257D">
        <w:rPr>
          <w:rStyle w:val="result-title"/>
          <w:rFonts w:asciiTheme="minorHAnsi" w:hAnsiTheme="minorHAnsi"/>
          <w:color w:val="333333"/>
          <w:shd w:val="clear" w:color="auto" w:fill="FFFFFF"/>
        </w:rPr>
        <w:t>the</w:t>
      </w:r>
      <w:r w:rsidRPr="003C257D">
        <w:rPr>
          <w:rStyle w:val="result-title"/>
          <w:rFonts w:asciiTheme="minorHAnsi" w:hAnsiTheme="minorHAnsi"/>
          <w:color w:val="333333"/>
          <w:shd w:val="clear" w:color="auto" w:fill="FFFFFF"/>
        </w:rPr>
        <w:t xml:space="preserve"> full committee</w:t>
      </w:r>
      <w:r w:rsidR="00501584" w:rsidRPr="003C257D">
        <w:rPr>
          <w:rStyle w:val="result-title"/>
          <w:rFonts w:asciiTheme="minorHAnsi" w:hAnsiTheme="minorHAnsi"/>
          <w:color w:val="333333"/>
          <w:shd w:val="clear" w:color="auto" w:fill="FFFFFF"/>
        </w:rPr>
        <w:t xml:space="preserve"> by</w:t>
      </w:r>
      <w:r w:rsidRPr="003C257D">
        <w:rPr>
          <w:rStyle w:val="result-title"/>
          <w:rFonts w:asciiTheme="minorHAnsi" w:hAnsiTheme="minorHAnsi"/>
          <w:color w:val="333333"/>
          <w:shd w:val="clear" w:color="auto" w:fill="FFFFFF"/>
        </w:rPr>
        <w:t xml:space="preserve"> voice vote.</w:t>
      </w:r>
      <w:r w:rsidR="00501584" w:rsidRPr="003C257D">
        <w:rPr>
          <w:rStyle w:val="result-title"/>
          <w:rFonts w:asciiTheme="minorHAnsi" w:hAnsiTheme="minorHAnsi"/>
          <w:color w:val="333333"/>
          <w:shd w:val="clear" w:color="auto" w:fill="FFFFFF"/>
        </w:rPr>
        <w:t>)</w:t>
      </w:r>
    </w:p>
    <w:p w14:paraId="4C7B33FC" w14:textId="77777777" w:rsidR="007C4F51" w:rsidRPr="003C257D" w:rsidRDefault="007C4F51" w:rsidP="007C4F51">
      <w:pPr>
        <w:shd w:val="clear" w:color="auto" w:fill="FFFFFF"/>
        <w:spacing w:after="0" w:line="240" w:lineRule="auto"/>
        <w:rPr>
          <w:rFonts w:asciiTheme="minorHAnsi" w:eastAsia="Times New Roman" w:hAnsiTheme="minorHAnsi"/>
          <w:b/>
          <w:color w:val="333333"/>
        </w:rPr>
      </w:pPr>
    </w:p>
    <w:p w14:paraId="5C1DF33C" w14:textId="10512070" w:rsidR="005436CC" w:rsidRPr="003C257D" w:rsidRDefault="00501584" w:rsidP="007C4F51">
      <w:pPr>
        <w:shd w:val="clear" w:color="auto" w:fill="FFFFFF"/>
        <w:spacing w:after="0" w:line="240" w:lineRule="auto"/>
        <w:rPr>
          <w:rFonts w:asciiTheme="minorHAnsi" w:eastAsia="Times New Roman" w:hAnsiTheme="minorHAnsi"/>
          <w:bCs w:val="0"/>
          <w:color w:val="333333"/>
        </w:rPr>
      </w:pPr>
      <w:r w:rsidRPr="003C257D">
        <w:rPr>
          <w:rFonts w:asciiTheme="minorHAnsi" w:eastAsia="Times New Roman" w:hAnsiTheme="minorHAnsi"/>
          <w:b/>
          <w:color w:val="333333"/>
        </w:rPr>
        <w:t>Better Care Better Jobs Act</w:t>
      </w:r>
      <w:r w:rsidRPr="003C257D">
        <w:rPr>
          <w:rFonts w:asciiTheme="minorHAnsi" w:eastAsia="Times New Roman" w:hAnsiTheme="minorHAnsi"/>
          <w:bCs w:val="0"/>
          <w:color w:val="333333"/>
        </w:rPr>
        <w:t xml:space="preserve"> – </w:t>
      </w:r>
      <w:hyperlink r:id="rId30" w:history="1">
        <w:r w:rsidR="00FE6DB9" w:rsidRPr="003C257D">
          <w:rPr>
            <w:rStyle w:val="Hyperlink"/>
            <w:rFonts w:asciiTheme="minorHAnsi" w:hAnsiTheme="minorHAnsi"/>
            <w:color w:val="24478F"/>
            <w:shd w:val="clear" w:color="auto" w:fill="FFFFFF"/>
          </w:rPr>
          <w:t>H.R.547</w:t>
        </w:r>
      </w:hyperlink>
      <w:r w:rsidR="00FE6DB9" w:rsidRPr="003C257D">
        <w:rPr>
          <w:rFonts w:asciiTheme="minorHAnsi" w:hAnsiTheme="minorHAnsi"/>
        </w:rPr>
        <w:t xml:space="preserve"> /</w:t>
      </w:r>
      <w:r w:rsidR="00E47266" w:rsidRPr="003C257D">
        <w:rPr>
          <w:rFonts w:asciiTheme="minorHAnsi" w:hAnsiTheme="minorHAnsi"/>
        </w:rPr>
        <w:t xml:space="preserve"> </w:t>
      </w:r>
      <w:hyperlink r:id="rId31" w:history="1">
        <w:r w:rsidR="00E47266" w:rsidRPr="003C257D">
          <w:rPr>
            <w:rStyle w:val="Hyperlink"/>
            <w:rFonts w:asciiTheme="minorHAnsi" w:hAnsiTheme="minorHAnsi"/>
          </w:rPr>
          <w:t>S.100</w:t>
        </w:r>
      </w:hyperlink>
      <w:r w:rsidRPr="003C257D">
        <w:rPr>
          <w:rFonts w:asciiTheme="minorHAnsi" w:eastAsia="Times New Roman" w:hAnsiTheme="minorHAnsi"/>
          <w:bCs w:val="0"/>
          <w:color w:val="333333"/>
        </w:rPr>
        <w:t xml:space="preserve"> (</w:t>
      </w:r>
      <w:r w:rsidR="005436CC" w:rsidRPr="003C257D">
        <w:rPr>
          <w:rFonts w:asciiTheme="minorHAnsi" w:eastAsia="Times New Roman" w:hAnsiTheme="minorHAnsi"/>
          <w:bCs w:val="0"/>
          <w:color w:val="333333"/>
        </w:rPr>
        <w:t xml:space="preserve">Dingell and </w:t>
      </w:r>
      <w:r w:rsidRPr="003C257D">
        <w:rPr>
          <w:rFonts w:asciiTheme="minorHAnsi" w:eastAsia="Times New Roman" w:hAnsiTheme="minorHAnsi"/>
          <w:bCs w:val="0"/>
          <w:color w:val="333333"/>
        </w:rPr>
        <w:t xml:space="preserve">Casey) </w:t>
      </w:r>
      <w:r w:rsidR="005436CC" w:rsidRPr="003C257D">
        <w:rPr>
          <w:rFonts w:asciiTheme="minorHAnsi" w:eastAsia="Times New Roman" w:hAnsiTheme="minorHAnsi"/>
          <w:bCs w:val="0"/>
          <w:color w:val="333333"/>
        </w:rPr>
        <w:t xml:space="preserve">Provides </w:t>
      </w:r>
      <w:r w:rsidR="004D3849" w:rsidRPr="003C257D">
        <w:rPr>
          <w:rFonts w:asciiTheme="minorHAnsi" w:eastAsia="Times New Roman" w:hAnsiTheme="minorHAnsi"/>
          <w:bCs w:val="0"/>
          <w:color w:val="333333"/>
        </w:rPr>
        <w:t>funds for the Centers for Medicare &amp; Medicaid Services to award planning grants, develop quality measures, and provide technical assistance to states regarding specified HCBS improvements, particularly with respect to access, utilization, and the associated workforce</w:t>
      </w:r>
      <w:r w:rsidR="003C257D" w:rsidRPr="003C257D">
        <w:rPr>
          <w:rFonts w:asciiTheme="minorHAnsi" w:eastAsia="Times New Roman" w:hAnsiTheme="minorHAnsi"/>
          <w:bCs w:val="0"/>
          <w:color w:val="333333"/>
        </w:rPr>
        <w:t>. R</w:t>
      </w:r>
      <w:r w:rsidR="005436CC" w:rsidRPr="003C257D">
        <w:rPr>
          <w:rFonts w:asciiTheme="minorHAnsi" w:eastAsia="Times New Roman" w:hAnsiTheme="minorHAnsi"/>
          <w:bCs w:val="0"/>
          <w:color w:val="333333"/>
        </w:rPr>
        <w:t>eferred</w:t>
      </w:r>
      <w:r w:rsidR="00E47266" w:rsidRPr="003C257D">
        <w:rPr>
          <w:rFonts w:asciiTheme="minorHAnsi" w:eastAsia="Times New Roman" w:hAnsiTheme="minorHAnsi"/>
          <w:bCs w:val="0"/>
          <w:color w:val="333333"/>
        </w:rPr>
        <w:t xml:space="preserve"> to House Energy and Commerce and</w:t>
      </w:r>
      <w:r w:rsidR="005436CC" w:rsidRPr="003C257D">
        <w:rPr>
          <w:rFonts w:asciiTheme="minorHAnsi" w:eastAsia="Times New Roman" w:hAnsiTheme="minorHAnsi"/>
          <w:bCs w:val="0"/>
          <w:color w:val="333333"/>
        </w:rPr>
        <w:t xml:space="preserve"> to</w:t>
      </w:r>
      <w:r w:rsidR="00E47266" w:rsidRPr="003C257D">
        <w:rPr>
          <w:rFonts w:asciiTheme="minorHAnsi" w:eastAsia="Times New Roman" w:hAnsiTheme="minorHAnsi"/>
          <w:bCs w:val="0"/>
          <w:color w:val="333333"/>
        </w:rPr>
        <w:t xml:space="preserve"> Finance in Senate</w:t>
      </w:r>
      <w:r w:rsidR="003C257D" w:rsidRPr="003C257D">
        <w:rPr>
          <w:rFonts w:asciiTheme="minorHAnsi" w:eastAsia="Times New Roman" w:hAnsiTheme="minorHAnsi"/>
          <w:bCs w:val="0"/>
          <w:color w:val="333333"/>
        </w:rPr>
        <w:t xml:space="preserve"> (1/26/23)</w:t>
      </w:r>
      <w:r w:rsidR="004D3849" w:rsidRPr="003C257D">
        <w:rPr>
          <w:rFonts w:asciiTheme="minorHAnsi" w:eastAsia="Times New Roman" w:hAnsiTheme="minorHAnsi"/>
          <w:bCs w:val="0"/>
          <w:color w:val="333333"/>
        </w:rPr>
        <w:t>. The bill also</w:t>
      </w:r>
      <w:r w:rsidR="00E47266" w:rsidRPr="003C257D">
        <w:rPr>
          <w:rFonts w:asciiTheme="minorHAnsi" w:eastAsia="Times New Roman" w:hAnsiTheme="minorHAnsi"/>
          <w:bCs w:val="0"/>
          <w:color w:val="333333"/>
        </w:rPr>
        <w:t>:</w:t>
      </w:r>
      <w:r w:rsidR="004D3849" w:rsidRPr="003C257D">
        <w:rPr>
          <w:rFonts w:asciiTheme="minorHAnsi" w:eastAsia="Times New Roman" w:hAnsiTheme="minorHAnsi"/>
          <w:bCs w:val="0"/>
          <w:color w:val="333333"/>
        </w:rPr>
        <w:t xml:space="preserve"> </w:t>
      </w:r>
    </w:p>
    <w:p w14:paraId="4FACEDB9" w14:textId="5EE73E48" w:rsidR="004D3849" w:rsidRPr="003C257D" w:rsidRDefault="004D3849" w:rsidP="007C4F51">
      <w:pPr>
        <w:pStyle w:val="ListParagraph"/>
        <w:numPr>
          <w:ilvl w:val="0"/>
          <w:numId w:val="3"/>
        </w:numPr>
        <w:shd w:val="clear" w:color="auto" w:fill="FFFFFF"/>
        <w:spacing w:after="0" w:line="240" w:lineRule="auto"/>
        <w:rPr>
          <w:rFonts w:asciiTheme="minorHAnsi" w:eastAsia="Times New Roman" w:hAnsiTheme="minorHAnsi"/>
          <w:bCs w:val="0"/>
          <w:color w:val="333333"/>
        </w:rPr>
      </w:pPr>
      <w:r w:rsidRPr="003C257D">
        <w:rPr>
          <w:rFonts w:asciiTheme="minorHAnsi" w:eastAsia="Times New Roman" w:hAnsiTheme="minorHAnsi"/>
          <w:bCs w:val="0"/>
          <w:color w:val="333333"/>
        </w:rPr>
        <w:t>increases the Federal Medical Assistance Percentage (i.e., federal matching rate) for HCBS in states that develop plans and meet specified benchmarks for improvements</w:t>
      </w:r>
      <w:r w:rsidR="005436CC" w:rsidRPr="003C257D">
        <w:rPr>
          <w:rFonts w:asciiTheme="minorHAnsi" w:eastAsia="Times New Roman" w:hAnsiTheme="minorHAnsi"/>
          <w:bCs w:val="0"/>
          <w:color w:val="333333"/>
        </w:rPr>
        <w:t>,</w:t>
      </w:r>
    </w:p>
    <w:p w14:paraId="1248515E" w14:textId="77777777" w:rsidR="005436CC" w:rsidRPr="003C257D" w:rsidRDefault="004D3849" w:rsidP="007C4F51">
      <w:pPr>
        <w:pStyle w:val="ListParagraph"/>
        <w:numPr>
          <w:ilvl w:val="1"/>
          <w:numId w:val="2"/>
        </w:numPr>
        <w:shd w:val="clear" w:color="auto" w:fill="FFFFFF"/>
        <w:spacing w:after="0" w:line="240" w:lineRule="auto"/>
        <w:rPr>
          <w:rFonts w:asciiTheme="minorHAnsi" w:eastAsia="Times New Roman" w:hAnsiTheme="minorHAnsi"/>
          <w:bCs w:val="0"/>
          <w:color w:val="333333"/>
        </w:rPr>
      </w:pPr>
      <w:r w:rsidRPr="003C257D">
        <w:rPr>
          <w:rFonts w:asciiTheme="minorHAnsi" w:eastAsia="Times New Roman" w:hAnsiTheme="minorHAnsi"/>
          <w:bCs w:val="0"/>
          <w:color w:val="333333"/>
        </w:rPr>
        <w:t xml:space="preserve">makes permanent Money Follows the Person Rebalancing Demonstration Program (a grant program to help states increase the use of HCBS for long-term care and decrease the use of institutional care), and </w:t>
      </w:r>
    </w:p>
    <w:p w14:paraId="7A535455" w14:textId="49D512D5" w:rsidR="00501584" w:rsidRPr="003C257D" w:rsidRDefault="005436CC" w:rsidP="007C4F51">
      <w:pPr>
        <w:pStyle w:val="ListParagraph"/>
        <w:numPr>
          <w:ilvl w:val="1"/>
          <w:numId w:val="2"/>
        </w:numPr>
        <w:shd w:val="clear" w:color="auto" w:fill="FFFFFF"/>
        <w:spacing w:after="0" w:line="240" w:lineRule="auto"/>
        <w:rPr>
          <w:rFonts w:asciiTheme="minorHAnsi" w:eastAsia="Times New Roman" w:hAnsiTheme="minorHAnsi"/>
          <w:bCs w:val="0"/>
          <w:color w:val="333333"/>
        </w:rPr>
      </w:pPr>
      <w:r w:rsidRPr="003C257D">
        <w:rPr>
          <w:rFonts w:asciiTheme="minorHAnsi" w:eastAsia="Times New Roman" w:hAnsiTheme="minorHAnsi"/>
          <w:bCs w:val="0"/>
          <w:color w:val="333333"/>
        </w:rPr>
        <w:t>makes permanent</w:t>
      </w:r>
      <w:r w:rsidR="004D3849" w:rsidRPr="003C257D">
        <w:rPr>
          <w:rFonts w:asciiTheme="minorHAnsi" w:eastAsia="Times New Roman" w:hAnsiTheme="minorHAnsi"/>
          <w:bCs w:val="0"/>
          <w:color w:val="333333"/>
        </w:rPr>
        <w:t xml:space="preserve"> certain provisions regarding Medicaid eligibility that protect against spousal impoverishment for recipients of HCBS.</w:t>
      </w:r>
      <w:r w:rsidR="00501584" w:rsidRPr="003C257D">
        <w:rPr>
          <w:rFonts w:asciiTheme="minorHAnsi" w:hAnsiTheme="minorHAnsi"/>
        </w:rPr>
        <w:t xml:space="preserve"> </w:t>
      </w:r>
    </w:p>
    <w:p w14:paraId="3E44EF0B" w14:textId="62AF82BD" w:rsidR="004D3849" w:rsidRPr="003C257D" w:rsidRDefault="006E24E4" w:rsidP="007C4F51">
      <w:pPr>
        <w:pStyle w:val="ListParagraph"/>
        <w:numPr>
          <w:ilvl w:val="0"/>
          <w:numId w:val="4"/>
        </w:numPr>
        <w:shd w:val="clear" w:color="auto" w:fill="FFFFFF"/>
        <w:spacing w:after="0" w:line="240" w:lineRule="auto"/>
        <w:rPr>
          <w:rFonts w:asciiTheme="minorHAnsi" w:eastAsia="Times New Roman" w:hAnsiTheme="minorHAnsi"/>
          <w:bCs w:val="0"/>
          <w:color w:val="333333"/>
        </w:rPr>
      </w:pPr>
      <w:r w:rsidRPr="003C257D">
        <w:rPr>
          <w:rFonts w:asciiTheme="minorHAnsi" w:eastAsia="Times New Roman" w:hAnsiTheme="minorHAnsi"/>
          <w:bCs w:val="0"/>
          <w:color w:val="333333"/>
        </w:rPr>
        <w:t xml:space="preserve">Read the </w:t>
      </w:r>
      <w:hyperlink r:id="rId32" w:history="1">
        <w:r w:rsidRPr="003C257D">
          <w:rPr>
            <w:rStyle w:val="Hyperlink"/>
            <w:rFonts w:asciiTheme="minorHAnsi" w:eastAsia="Times New Roman" w:hAnsiTheme="minorHAnsi"/>
            <w:bCs w:val="0"/>
          </w:rPr>
          <w:t>joint press release</w:t>
        </w:r>
      </w:hyperlink>
      <w:r w:rsidRPr="003C257D">
        <w:rPr>
          <w:rFonts w:asciiTheme="minorHAnsi" w:eastAsia="Times New Roman" w:hAnsiTheme="minorHAnsi"/>
          <w:bCs w:val="0"/>
          <w:color w:val="333333"/>
        </w:rPr>
        <w:t xml:space="preserve"> of Rep. Dingell and Sen. Casey</w:t>
      </w:r>
    </w:p>
    <w:p w14:paraId="0DC4606D" w14:textId="77777777" w:rsidR="007C4F51" w:rsidRPr="003C257D" w:rsidRDefault="007C4F51" w:rsidP="007C4F51">
      <w:pPr>
        <w:spacing w:after="0"/>
        <w:rPr>
          <w:rFonts w:asciiTheme="minorHAnsi" w:hAnsiTheme="minorHAnsi"/>
          <w:b/>
          <w:bCs w:val="0"/>
        </w:rPr>
      </w:pPr>
    </w:p>
    <w:p w14:paraId="6097EAE5" w14:textId="2D86219D" w:rsidR="004D3849" w:rsidRPr="003C257D" w:rsidRDefault="00EE74C9" w:rsidP="007C4F51">
      <w:pPr>
        <w:spacing w:after="0"/>
        <w:rPr>
          <w:rFonts w:asciiTheme="minorHAnsi" w:hAnsiTheme="minorHAnsi"/>
        </w:rPr>
      </w:pPr>
      <w:r w:rsidRPr="003C257D">
        <w:rPr>
          <w:rFonts w:asciiTheme="minorHAnsi" w:hAnsiTheme="minorHAnsi"/>
          <w:b/>
          <w:bCs w:val="0"/>
        </w:rPr>
        <w:t>Social Security Terminology Changes to Help Americans Plan Better for Retirement</w:t>
      </w:r>
      <w:r w:rsidRPr="003C257D">
        <w:rPr>
          <w:rFonts w:asciiTheme="minorHAnsi" w:hAnsiTheme="minorHAnsi"/>
        </w:rPr>
        <w:t xml:space="preserve"> S.</w:t>
      </w:r>
      <w:hyperlink r:id="rId33" w:history="1">
        <w:r w:rsidRPr="003C257D">
          <w:rPr>
            <w:rStyle w:val="Hyperlink"/>
            <w:rFonts w:asciiTheme="minorHAnsi" w:hAnsiTheme="minorHAnsi"/>
          </w:rPr>
          <w:t>692</w:t>
        </w:r>
      </w:hyperlink>
      <w:r w:rsidRPr="003C257D">
        <w:rPr>
          <w:rFonts w:asciiTheme="minorHAnsi" w:hAnsiTheme="minorHAnsi"/>
        </w:rPr>
        <w:t xml:space="preserve"> (Cassidy) Requires SSA to make changes to the terminology used in the rules, regulations, guidance, and other materials.  Specifically, </w:t>
      </w:r>
    </w:p>
    <w:p w14:paraId="39B379D5" w14:textId="42B101F4" w:rsidR="00EE74C9" w:rsidRPr="003C257D" w:rsidRDefault="00EE74C9" w:rsidP="007C4F51">
      <w:pPr>
        <w:pStyle w:val="lbexindentparagraph"/>
        <w:numPr>
          <w:ilvl w:val="0"/>
          <w:numId w:val="5"/>
        </w:numPr>
        <w:shd w:val="clear" w:color="auto" w:fill="FFFFFF"/>
        <w:spacing w:before="0" w:beforeAutospacing="0" w:after="0" w:afterAutospacing="0"/>
        <w:rPr>
          <w:rFonts w:asciiTheme="minorHAnsi" w:hAnsiTheme="minorHAnsi" w:cstheme="minorHAnsi"/>
          <w:color w:val="333333"/>
        </w:rPr>
      </w:pPr>
      <w:r w:rsidRPr="003C257D">
        <w:rPr>
          <w:rFonts w:asciiTheme="minorHAnsi" w:hAnsiTheme="minorHAnsi" w:cstheme="minorHAnsi"/>
          <w:color w:val="333333"/>
        </w:rPr>
        <w:t>the term “early eligibility age” is replaced with the term “minimum benefit age”</w:t>
      </w:r>
    </w:p>
    <w:p w14:paraId="3555C48F" w14:textId="111DE398" w:rsidR="00EE74C9" w:rsidRPr="003C257D" w:rsidRDefault="00EE74C9" w:rsidP="007C4F51">
      <w:pPr>
        <w:pStyle w:val="lbexindentparagraph"/>
        <w:numPr>
          <w:ilvl w:val="0"/>
          <w:numId w:val="5"/>
        </w:numPr>
        <w:shd w:val="clear" w:color="auto" w:fill="FFFFFF"/>
        <w:spacing w:before="0" w:beforeAutospacing="0" w:after="0" w:afterAutospacing="0"/>
        <w:rPr>
          <w:rFonts w:asciiTheme="minorHAnsi" w:hAnsiTheme="minorHAnsi" w:cstheme="minorHAnsi"/>
          <w:color w:val="333333"/>
        </w:rPr>
      </w:pPr>
      <w:r w:rsidRPr="003C257D">
        <w:rPr>
          <w:rFonts w:asciiTheme="minorHAnsi" w:hAnsiTheme="minorHAnsi" w:cstheme="minorHAnsi"/>
          <w:color w:val="333333"/>
        </w:rPr>
        <w:t>the terms “full retirement age” and “normal retirement age” are replaced with the term “standard benefit age” and</w:t>
      </w:r>
    </w:p>
    <w:p w14:paraId="3662762B" w14:textId="4CE1E513" w:rsidR="00EE74C9" w:rsidRPr="003C257D" w:rsidRDefault="00EE74C9" w:rsidP="007C4F51">
      <w:pPr>
        <w:pStyle w:val="lbexindentparagraph"/>
        <w:numPr>
          <w:ilvl w:val="0"/>
          <w:numId w:val="5"/>
        </w:numPr>
        <w:shd w:val="clear" w:color="auto" w:fill="FFFFFF"/>
        <w:spacing w:before="0" w:beforeAutospacing="0" w:after="0" w:afterAutospacing="0"/>
        <w:rPr>
          <w:rFonts w:asciiTheme="minorHAnsi" w:hAnsiTheme="minorHAnsi" w:cstheme="minorHAnsi"/>
          <w:color w:val="333333"/>
        </w:rPr>
      </w:pPr>
      <w:r w:rsidRPr="003C257D">
        <w:rPr>
          <w:rFonts w:asciiTheme="minorHAnsi" w:hAnsiTheme="minorHAnsi" w:cstheme="minorHAnsi"/>
          <w:color w:val="333333"/>
        </w:rPr>
        <w:t>the term “delayed retirement credit” shall not be used and any reference to age 70 as the maximum age up to which delayed retirement credits can be received shall be replaced with the term “maximum benefit age</w:t>
      </w:r>
      <w:r w:rsidR="00AC326C" w:rsidRPr="003C257D">
        <w:rPr>
          <w:rFonts w:asciiTheme="minorHAnsi" w:hAnsiTheme="minorHAnsi" w:cstheme="minorHAnsi"/>
          <w:color w:val="333333"/>
        </w:rPr>
        <w:t>.</w:t>
      </w:r>
      <w:r w:rsidRPr="003C257D">
        <w:rPr>
          <w:rFonts w:asciiTheme="minorHAnsi" w:hAnsiTheme="minorHAnsi" w:cstheme="minorHAnsi"/>
          <w:color w:val="333333"/>
        </w:rPr>
        <w:t>”</w:t>
      </w:r>
    </w:p>
    <w:p w14:paraId="600FEBC1" w14:textId="070CE41F" w:rsidR="00EE74C9" w:rsidRPr="003C257D" w:rsidRDefault="00EE74C9" w:rsidP="007C4F51">
      <w:pPr>
        <w:pStyle w:val="ListParagraph"/>
        <w:numPr>
          <w:ilvl w:val="0"/>
          <w:numId w:val="4"/>
        </w:numPr>
        <w:spacing w:after="0"/>
        <w:rPr>
          <w:rFonts w:asciiTheme="minorHAnsi" w:hAnsiTheme="minorHAnsi"/>
        </w:rPr>
      </w:pPr>
      <w:r w:rsidRPr="003C257D">
        <w:rPr>
          <w:rFonts w:asciiTheme="minorHAnsi" w:hAnsiTheme="minorHAnsi"/>
        </w:rPr>
        <w:t xml:space="preserve">Read the </w:t>
      </w:r>
      <w:hyperlink r:id="rId34" w:history="1">
        <w:r w:rsidRPr="003C257D">
          <w:rPr>
            <w:rStyle w:val="Hyperlink"/>
            <w:rFonts w:asciiTheme="minorHAnsi" w:hAnsiTheme="minorHAnsi"/>
          </w:rPr>
          <w:t>joint press release</w:t>
        </w:r>
      </w:hyperlink>
      <w:r w:rsidRPr="003C257D">
        <w:rPr>
          <w:rFonts w:asciiTheme="minorHAnsi" w:hAnsiTheme="minorHAnsi"/>
        </w:rPr>
        <w:t xml:space="preserve"> of Senators Cassidy, Kaine, Coons, and Collins.</w:t>
      </w:r>
    </w:p>
    <w:p w14:paraId="2DCAB208" w14:textId="77777777" w:rsidR="007C4F51" w:rsidRPr="003C257D" w:rsidRDefault="007C4F51" w:rsidP="007C4F51">
      <w:pPr>
        <w:spacing w:after="0"/>
        <w:rPr>
          <w:rFonts w:asciiTheme="minorHAnsi" w:hAnsiTheme="minorHAnsi"/>
          <w:b/>
          <w:bCs w:val="0"/>
        </w:rPr>
      </w:pPr>
    </w:p>
    <w:p w14:paraId="5CB5BB71" w14:textId="2F502F46" w:rsidR="00EE74C9" w:rsidRPr="003C257D" w:rsidRDefault="00AC326C" w:rsidP="00AE50D2">
      <w:pPr>
        <w:spacing w:after="0"/>
        <w:rPr>
          <w:rFonts w:asciiTheme="minorHAnsi" w:eastAsia="Times New Roman" w:hAnsiTheme="minorHAnsi"/>
          <w:color w:val="333333"/>
        </w:rPr>
      </w:pPr>
      <w:r w:rsidRPr="003C257D">
        <w:rPr>
          <w:rFonts w:asciiTheme="minorHAnsi" w:hAnsiTheme="minorHAnsi"/>
          <w:b/>
          <w:bCs w:val="0"/>
        </w:rPr>
        <w:t>Transformation to Competitive Integrated Employment Act</w:t>
      </w:r>
      <w:r w:rsidRPr="003C257D">
        <w:rPr>
          <w:rFonts w:asciiTheme="minorHAnsi" w:hAnsiTheme="minorHAnsi"/>
        </w:rPr>
        <w:t xml:space="preserve"> – </w:t>
      </w:r>
      <w:hyperlink r:id="rId35" w:history="1">
        <w:r w:rsidRPr="003C257D">
          <w:rPr>
            <w:rFonts w:asciiTheme="minorHAnsi" w:eastAsia="Times New Roman" w:hAnsiTheme="minorHAnsi"/>
            <w:bCs w:val="0"/>
            <w:color w:val="3366CC"/>
            <w:u w:val="single"/>
          </w:rPr>
          <w:t>H.R.1263</w:t>
        </w:r>
      </w:hyperlink>
      <w:r w:rsidRPr="003C257D">
        <w:rPr>
          <w:rFonts w:asciiTheme="minorHAnsi" w:eastAsia="Times New Roman" w:hAnsiTheme="minorHAnsi"/>
          <w:bCs w:val="0"/>
          <w:color w:val="333333"/>
        </w:rPr>
        <w:t xml:space="preserve"> / </w:t>
      </w:r>
      <w:hyperlink r:id="rId36" w:history="1">
        <w:r w:rsidRPr="003C257D">
          <w:rPr>
            <w:rFonts w:asciiTheme="minorHAnsi" w:eastAsia="Times New Roman" w:hAnsiTheme="minorHAnsi"/>
            <w:bCs w:val="0"/>
            <w:color w:val="3366CC"/>
            <w:u w:val="single"/>
          </w:rPr>
          <w:t>S.533</w:t>
        </w:r>
      </w:hyperlink>
      <w:r w:rsidRPr="003C257D">
        <w:rPr>
          <w:rFonts w:asciiTheme="minorHAnsi" w:eastAsia="Times New Roman" w:hAnsiTheme="minorHAnsi"/>
          <w:bCs w:val="0"/>
          <w:color w:val="333333"/>
        </w:rPr>
        <w:t xml:space="preserve"> (Scott and Casey) </w:t>
      </w:r>
      <w:r w:rsidRPr="003C257D">
        <w:rPr>
          <w:rFonts w:asciiTheme="minorHAnsi" w:hAnsiTheme="minorHAnsi"/>
          <w:color w:val="333333"/>
          <w:shd w:val="clear" w:color="auto" w:fill="FFFFFF"/>
        </w:rPr>
        <w:t>Assists employers providing employment under special certificates issued under section 14(c) of the Fair Labor Standards Act of 1938 in transforming their business and program models to models that support individuals with disabilities through competitive integrated employment, to phase out the use of such special certificates, and for other purposes</w:t>
      </w:r>
      <w:r w:rsidR="003C257D" w:rsidRPr="003C257D">
        <w:rPr>
          <w:rFonts w:asciiTheme="minorHAnsi" w:hAnsiTheme="minorHAnsi"/>
          <w:color w:val="333333"/>
          <w:shd w:val="clear" w:color="auto" w:fill="FFFFFF"/>
        </w:rPr>
        <w:t>. R</w:t>
      </w:r>
      <w:r w:rsidRPr="003C257D">
        <w:rPr>
          <w:rFonts w:asciiTheme="minorHAnsi" w:hAnsiTheme="minorHAnsi"/>
          <w:color w:val="333333"/>
          <w:shd w:val="clear" w:color="auto" w:fill="FFFFFF"/>
        </w:rPr>
        <w:t xml:space="preserve">eferred </w:t>
      </w:r>
      <w:r w:rsidRPr="003C257D">
        <w:rPr>
          <w:rFonts w:asciiTheme="minorHAnsi" w:hAnsiTheme="minorHAnsi"/>
          <w:color w:val="333333"/>
          <w:shd w:val="clear" w:color="auto" w:fill="FFFFFF"/>
        </w:rPr>
        <w:lastRenderedPageBreak/>
        <w:t>to House Committee on Education and the Workforce and to Committee on Health, Education, Labor, and Pensions in the Senate</w:t>
      </w:r>
      <w:r w:rsidR="003C257D" w:rsidRPr="003C257D">
        <w:rPr>
          <w:rFonts w:asciiTheme="minorHAnsi" w:hAnsiTheme="minorHAnsi"/>
          <w:color w:val="333333"/>
          <w:shd w:val="clear" w:color="auto" w:fill="FFFFFF"/>
        </w:rPr>
        <w:t xml:space="preserve"> (2/27/23)</w:t>
      </w:r>
      <w:r w:rsidRPr="003C257D">
        <w:rPr>
          <w:rFonts w:asciiTheme="minorHAnsi" w:hAnsiTheme="minorHAnsi"/>
          <w:color w:val="333333"/>
          <w:shd w:val="clear" w:color="auto" w:fill="FFFFFF"/>
        </w:rPr>
        <w:t>.</w:t>
      </w:r>
      <w:r w:rsidRPr="003C257D">
        <w:rPr>
          <w:rFonts w:asciiTheme="minorHAnsi" w:eastAsia="Times New Roman" w:hAnsiTheme="minorHAnsi"/>
          <w:b/>
          <w:bCs w:val="0"/>
          <w:color w:val="333333"/>
        </w:rPr>
        <w:t> </w:t>
      </w:r>
      <w:r w:rsidRPr="003C257D">
        <w:rPr>
          <w:rFonts w:asciiTheme="minorHAnsi" w:eastAsia="Times New Roman" w:hAnsiTheme="minorHAnsi"/>
          <w:color w:val="333333"/>
        </w:rPr>
        <w:t>“This work started with creating and expanding ABLE accounts, which are empowering individuals with disabilities to reach their full potential. Today, with this bipartisan legislation, it continues on the next policy frontier – employment,” said Rep. McMorris Rodgers (WA-05, R)</w:t>
      </w:r>
    </w:p>
    <w:p w14:paraId="097040A5" w14:textId="348B8FE0" w:rsidR="00AC326C" w:rsidRPr="003C257D" w:rsidRDefault="00AC326C" w:rsidP="007C4F51">
      <w:pPr>
        <w:pStyle w:val="ListParagraph"/>
        <w:numPr>
          <w:ilvl w:val="0"/>
          <w:numId w:val="4"/>
        </w:numPr>
        <w:shd w:val="clear" w:color="auto" w:fill="FFFFFF"/>
        <w:spacing w:after="0" w:line="240" w:lineRule="auto"/>
        <w:ind w:right="-15"/>
        <w:rPr>
          <w:rFonts w:asciiTheme="minorHAnsi" w:eastAsia="Times New Roman" w:hAnsiTheme="minorHAnsi"/>
          <w:bCs w:val="0"/>
          <w:color w:val="333333"/>
        </w:rPr>
      </w:pPr>
      <w:r w:rsidRPr="003C257D">
        <w:rPr>
          <w:rFonts w:asciiTheme="minorHAnsi" w:eastAsia="Times New Roman" w:hAnsiTheme="minorHAnsi"/>
          <w:bCs w:val="0"/>
          <w:color w:val="333333"/>
        </w:rPr>
        <w:t xml:space="preserve">Read the </w:t>
      </w:r>
      <w:hyperlink r:id="rId37" w:history="1">
        <w:r w:rsidRPr="003C257D">
          <w:rPr>
            <w:rStyle w:val="Hyperlink"/>
            <w:rFonts w:asciiTheme="minorHAnsi" w:eastAsia="Times New Roman" w:hAnsiTheme="minorHAnsi"/>
            <w:bCs w:val="0"/>
          </w:rPr>
          <w:t>joint press release</w:t>
        </w:r>
      </w:hyperlink>
      <w:r w:rsidRPr="003C257D">
        <w:rPr>
          <w:rFonts w:asciiTheme="minorHAnsi" w:eastAsia="Times New Roman" w:hAnsiTheme="minorHAnsi"/>
          <w:bCs w:val="0"/>
          <w:color w:val="333333"/>
        </w:rPr>
        <w:t xml:space="preserve"> of Senators Casey and Daines and Reps. Scott and Rodgers</w:t>
      </w:r>
    </w:p>
    <w:p w14:paraId="1518D3EC" w14:textId="51D6EBB6" w:rsidR="00667D8B" w:rsidRPr="003C257D" w:rsidRDefault="00667D8B" w:rsidP="007C4F51">
      <w:pPr>
        <w:pStyle w:val="ListParagraph"/>
        <w:numPr>
          <w:ilvl w:val="0"/>
          <w:numId w:val="4"/>
        </w:numPr>
        <w:shd w:val="clear" w:color="auto" w:fill="FFFFFF"/>
        <w:spacing w:after="0" w:line="240" w:lineRule="auto"/>
        <w:ind w:right="-15"/>
        <w:rPr>
          <w:rFonts w:asciiTheme="minorHAnsi" w:eastAsia="Times New Roman" w:hAnsiTheme="minorHAnsi"/>
          <w:bCs w:val="0"/>
          <w:color w:val="333333"/>
        </w:rPr>
      </w:pPr>
      <w:r w:rsidRPr="003C257D">
        <w:rPr>
          <w:rFonts w:asciiTheme="minorHAnsi" w:eastAsia="Times New Roman" w:hAnsiTheme="minorHAnsi"/>
          <w:bCs w:val="0"/>
          <w:color w:val="333333"/>
        </w:rPr>
        <w:t xml:space="preserve">GAO Report: Despite Progress, Workers with Disabilities Still at High Risk of Earning Subminimum Wage: report </w:t>
      </w:r>
      <w:hyperlink r:id="rId38" w:history="1">
        <w:r w:rsidRPr="003C257D">
          <w:rPr>
            <w:rStyle w:val="Hyperlink"/>
            <w:rFonts w:asciiTheme="minorHAnsi" w:eastAsia="Times New Roman" w:hAnsiTheme="minorHAnsi"/>
            <w:bCs w:val="0"/>
          </w:rPr>
          <w:t>highlights</w:t>
        </w:r>
      </w:hyperlink>
      <w:r w:rsidRPr="003C257D">
        <w:rPr>
          <w:rFonts w:asciiTheme="minorHAnsi" w:eastAsia="Times New Roman" w:hAnsiTheme="minorHAnsi"/>
          <w:bCs w:val="0"/>
          <w:color w:val="333333"/>
        </w:rPr>
        <w:t xml:space="preserve"> or </w:t>
      </w:r>
      <w:hyperlink r:id="rId39" w:history="1">
        <w:r w:rsidRPr="003C257D">
          <w:rPr>
            <w:rStyle w:val="Hyperlink"/>
            <w:rFonts w:asciiTheme="minorHAnsi" w:eastAsia="Times New Roman" w:hAnsiTheme="minorHAnsi"/>
            <w:bCs w:val="0"/>
          </w:rPr>
          <w:t>full report</w:t>
        </w:r>
      </w:hyperlink>
      <w:r w:rsidRPr="003C257D">
        <w:rPr>
          <w:rFonts w:asciiTheme="minorHAnsi" w:eastAsia="Times New Roman" w:hAnsiTheme="minorHAnsi"/>
          <w:bCs w:val="0"/>
          <w:color w:val="333333"/>
        </w:rPr>
        <w:t xml:space="preserve"> </w:t>
      </w:r>
    </w:p>
    <w:p w14:paraId="0FEE9660" w14:textId="728ED77A" w:rsidR="00EE74C9" w:rsidRPr="003C257D" w:rsidRDefault="00EE74C9" w:rsidP="007C4F51">
      <w:pPr>
        <w:spacing w:after="0"/>
        <w:rPr>
          <w:rFonts w:asciiTheme="minorHAnsi" w:hAnsiTheme="minorHAnsi"/>
        </w:rPr>
      </w:pPr>
    </w:p>
    <w:p w14:paraId="6CED56EF" w14:textId="00123CCC" w:rsidR="00AD6D73" w:rsidRPr="003C257D" w:rsidRDefault="00AD6D73" w:rsidP="00535D49">
      <w:pPr>
        <w:spacing w:after="0" w:line="240" w:lineRule="auto"/>
        <w:rPr>
          <w:rFonts w:asciiTheme="minorHAnsi" w:hAnsiTheme="minorHAnsi"/>
        </w:rPr>
      </w:pPr>
      <w:r w:rsidRPr="003C257D">
        <w:rPr>
          <w:rFonts w:asciiTheme="minorHAnsi" w:hAnsiTheme="minorHAnsi"/>
          <w:b/>
          <w:bCs w:val="0"/>
        </w:rPr>
        <w:t>Healthcare Worker Retention Act</w:t>
      </w:r>
      <w:r w:rsidRPr="003C257D">
        <w:rPr>
          <w:rFonts w:asciiTheme="minorHAnsi" w:hAnsiTheme="minorHAnsi"/>
        </w:rPr>
        <w:t xml:space="preserve"> - </w:t>
      </w:r>
      <w:hyperlink r:id="rId40" w:history="1">
        <w:r w:rsidRPr="003C257D">
          <w:rPr>
            <w:rStyle w:val="Hyperlink"/>
            <w:rFonts w:asciiTheme="minorHAnsi" w:hAnsiTheme="minorHAnsi"/>
          </w:rPr>
          <w:t>H.R. 1215</w:t>
        </w:r>
      </w:hyperlink>
      <w:r w:rsidRPr="003C257D">
        <w:rPr>
          <w:rFonts w:asciiTheme="minorHAnsi" w:hAnsiTheme="minorHAnsi"/>
        </w:rPr>
        <w:t xml:space="preserve"> (Magaziner) Establishes through 2024 a new refundable health care worker tax credit, equal to $1,000 for individual taxpayers (1) who work in a healthcare setting as an employee or contractor for at least an average of 20 hours per week, and 3 months during each half of a taxable year; and (2) whose gross income does not exceed $100,000 ($200,000 for joint returns or for a surviving spouse). The bill</w:t>
      </w:r>
      <w:r w:rsidR="00535D49">
        <w:rPr>
          <w:rFonts w:asciiTheme="minorHAnsi" w:hAnsiTheme="minorHAnsi"/>
        </w:rPr>
        <w:t xml:space="preserve"> defines </w:t>
      </w:r>
      <w:r w:rsidRPr="003C257D">
        <w:rPr>
          <w:rFonts w:asciiTheme="minorHAnsi" w:hAnsiTheme="minorHAnsi"/>
          <w:i/>
          <w:iCs/>
        </w:rPr>
        <w:t>healthcare setting</w:t>
      </w:r>
      <w:r w:rsidRPr="003C257D">
        <w:rPr>
          <w:rFonts w:asciiTheme="minorHAnsi" w:hAnsiTheme="minorHAnsi"/>
        </w:rPr>
        <w:t> as an organization that provides healthcare services in specified settings, including a hospital, a nursing home, a community-based healthcare center, a school or college campus, a primary care facility, an assisted living facility, a hospice or home care, emergency medical services, or any other licensed facility that extends healthcare services to patients, including the elderly and disabled</w:t>
      </w:r>
      <w:r w:rsidR="003C257D" w:rsidRPr="003C257D">
        <w:rPr>
          <w:rFonts w:asciiTheme="minorHAnsi" w:hAnsiTheme="minorHAnsi"/>
        </w:rPr>
        <w:t xml:space="preserve">. </w:t>
      </w:r>
      <w:r w:rsidRPr="003C257D">
        <w:rPr>
          <w:rFonts w:asciiTheme="minorHAnsi" w:hAnsiTheme="minorHAnsi"/>
        </w:rPr>
        <w:t xml:space="preserve"> </w:t>
      </w:r>
      <w:r w:rsidR="003C257D" w:rsidRPr="003C257D">
        <w:rPr>
          <w:rFonts w:asciiTheme="minorHAnsi" w:hAnsiTheme="minorHAnsi"/>
        </w:rPr>
        <w:t>R</w:t>
      </w:r>
      <w:r w:rsidRPr="003C257D">
        <w:rPr>
          <w:rFonts w:asciiTheme="minorHAnsi" w:hAnsiTheme="minorHAnsi"/>
        </w:rPr>
        <w:t>eferred to House Ways and Means</w:t>
      </w:r>
      <w:r w:rsidR="003C257D" w:rsidRPr="003C257D">
        <w:rPr>
          <w:rFonts w:asciiTheme="minorHAnsi" w:hAnsiTheme="minorHAnsi"/>
        </w:rPr>
        <w:t xml:space="preserve"> (2/27/23</w:t>
      </w:r>
      <w:r w:rsidRPr="003C257D">
        <w:rPr>
          <w:rFonts w:asciiTheme="minorHAnsi" w:hAnsiTheme="minorHAnsi"/>
        </w:rPr>
        <w:t>).</w:t>
      </w:r>
    </w:p>
    <w:p w14:paraId="0F6F4727" w14:textId="27BA8B39" w:rsidR="00AC326C" w:rsidRPr="003C257D" w:rsidRDefault="00AC326C" w:rsidP="00535D49">
      <w:pPr>
        <w:spacing w:after="0" w:line="240" w:lineRule="auto"/>
        <w:rPr>
          <w:rFonts w:asciiTheme="minorHAnsi" w:hAnsiTheme="minorHAnsi"/>
        </w:rPr>
      </w:pPr>
    </w:p>
    <w:p w14:paraId="3A7BCC18" w14:textId="045D6C4B" w:rsidR="00DD71A1" w:rsidRPr="003C257D" w:rsidRDefault="00DD71A1" w:rsidP="007C4F51">
      <w:pPr>
        <w:spacing w:after="0"/>
        <w:rPr>
          <w:rFonts w:asciiTheme="minorHAnsi" w:hAnsiTheme="minorHAnsi"/>
        </w:rPr>
      </w:pPr>
      <w:r w:rsidRPr="003C257D">
        <w:rPr>
          <w:rFonts w:asciiTheme="minorHAnsi" w:hAnsiTheme="minorHAnsi"/>
          <w:b/>
          <w:u w:val="single"/>
        </w:rPr>
        <w:t>MISCELLANEOUS</w:t>
      </w:r>
    </w:p>
    <w:p w14:paraId="65751A04" w14:textId="77777777" w:rsidR="00DD71A1" w:rsidRPr="003C257D" w:rsidRDefault="00DD71A1" w:rsidP="007C4F51">
      <w:pPr>
        <w:spacing w:after="0"/>
        <w:rPr>
          <w:rFonts w:asciiTheme="minorHAnsi" w:hAnsiTheme="minorHAnsi"/>
        </w:rPr>
      </w:pPr>
    </w:p>
    <w:p w14:paraId="01932E48" w14:textId="4C035DEC" w:rsidR="000B4AFD" w:rsidRPr="003C257D" w:rsidRDefault="00000000" w:rsidP="007C4F51">
      <w:pPr>
        <w:spacing w:after="0"/>
        <w:rPr>
          <w:rFonts w:asciiTheme="minorHAnsi" w:hAnsiTheme="minorHAnsi"/>
        </w:rPr>
      </w:pPr>
      <w:hyperlink r:id="rId41" w:anchor=":~:text=Based%20on%20current%20COVID%2D19,day%20on%20May%2011%2C%202023." w:history="1">
        <w:r w:rsidR="00DD71A1" w:rsidRPr="003C257D">
          <w:rPr>
            <w:rStyle w:val="Hyperlink"/>
            <w:rFonts w:asciiTheme="minorHAnsi" w:hAnsiTheme="minorHAnsi"/>
          </w:rPr>
          <w:t>CMS Fact Sheet on Public Health Emergency Expiration</w:t>
        </w:r>
      </w:hyperlink>
    </w:p>
    <w:p w14:paraId="410CFC13" w14:textId="210541B9" w:rsidR="00DD71A1" w:rsidRPr="003C257D" w:rsidRDefault="00DD71A1" w:rsidP="00DD71A1">
      <w:pPr>
        <w:spacing w:after="0"/>
        <w:rPr>
          <w:rFonts w:asciiTheme="minorHAnsi" w:hAnsiTheme="minorHAnsi"/>
        </w:rPr>
      </w:pPr>
      <w:r w:rsidRPr="003C257D">
        <w:rPr>
          <w:rFonts w:asciiTheme="minorHAnsi" w:hAnsiTheme="minorHAnsi"/>
        </w:rPr>
        <w:t xml:space="preserve">The Department of Health and Human Services Public Health Emergency will expire at the end of the day on May 11, 2023.  This fact sheet covers: </w:t>
      </w:r>
    </w:p>
    <w:p w14:paraId="2A2F2A36" w14:textId="1B7F29CC" w:rsidR="00DD71A1" w:rsidRPr="003C257D" w:rsidRDefault="00DD71A1" w:rsidP="00DD71A1">
      <w:pPr>
        <w:numPr>
          <w:ilvl w:val="0"/>
          <w:numId w:val="9"/>
        </w:numPr>
        <w:spacing w:after="0"/>
        <w:rPr>
          <w:rFonts w:asciiTheme="minorHAnsi" w:hAnsiTheme="minorHAnsi"/>
        </w:rPr>
      </w:pPr>
      <w:r w:rsidRPr="003C257D">
        <w:rPr>
          <w:rFonts w:asciiTheme="minorHAnsi" w:hAnsiTheme="minorHAnsi"/>
        </w:rPr>
        <w:t>COVID-19 vaccines, testing, and treatments for people on Medicare, Medicaid, and private insurance;</w:t>
      </w:r>
    </w:p>
    <w:p w14:paraId="6E733421" w14:textId="77777777" w:rsidR="00DD71A1" w:rsidRPr="003C257D" w:rsidRDefault="00DD71A1" w:rsidP="00DD71A1">
      <w:pPr>
        <w:numPr>
          <w:ilvl w:val="0"/>
          <w:numId w:val="9"/>
        </w:numPr>
        <w:spacing w:after="0"/>
        <w:rPr>
          <w:rFonts w:asciiTheme="minorHAnsi" w:hAnsiTheme="minorHAnsi"/>
        </w:rPr>
      </w:pPr>
      <w:r w:rsidRPr="003C257D">
        <w:rPr>
          <w:rFonts w:asciiTheme="minorHAnsi" w:hAnsiTheme="minorHAnsi"/>
        </w:rPr>
        <w:t>Telehealth services;</w:t>
      </w:r>
    </w:p>
    <w:p w14:paraId="54A3C003" w14:textId="77777777" w:rsidR="00DD71A1" w:rsidRPr="003C257D" w:rsidRDefault="00DD71A1" w:rsidP="00DD71A1">
      <w:pPr>
        <w:numPr>
          <w:ilvl w:val="0"/>
          <w:numId w:val="9"/>
        </w:numPr>
        <w:spacing w:after="0"/>
        <w:rPr>
          <w:rFonts w:asciiTheme="minorHAnsi" w:hAnsiTheme="minorHAnsi"/>
        </w:rPr>
      </w:pPr>
      <w:r w:rsidRPr="003C257D">
        <w:rPr>
          <w:rFonts w:asciiTheme="minorHAnsi" w:hAnsiTheme="minorHAnsi"/>
        </w:rPr>
        <w:t>Health Care Access: Continuing flexibilities for health care professionals; and</w:t>
      </w:r>
    </w:p>
    <w:p w14:paraId="290A0DD4" w14:textId="78733EE3" w:rsidR="00DD71A1" w:rsidRPr="003C257D" w:rsidRDefault="00DD71A1" w:rsidP="00DD71A1">
      <w:pPr>
        <w:numPr>
          <w:ilvl w:val="0"/>
          <w:numId w:val="9"/>
        </w:numPr>
        <w:spacing w:after="0"/>
        <w:rPr>
          <w:rFonts w:asciiTheme="minorHAnsi" w:hAnsiTheme="minorHAnsi"/>
        </w:rPr>
      </w:pPr>
      <w:r w:rsidRPr="003C257D">
        <w:rPr>
          <w:rFonts w:asciiTheme="minorHAnsi" w:hAnsiTheme="minorHAnsi"/>
        </w:rPr>
        <w:t>Inpatient Hospital Care at Home: Expanded hospital capacity by providing inpatient care in a patient’s home.</w:t>
      </w:r>
    </w:p>
    <w:p w14:paraId="2EDF61DA" w14:textId="61B71F69" w:rsidR="00DD71A1" w:rsidRPr="003C257D" w:rsidRDefault="00DD71A1" w:rsidP="007C4F51">
      <w:pPr>
        <w:spacing w:after="0"/>
        <w:rPr>
          <w:rFonts w:asciiTheme="minorHAnsi" w:hAnsiTheme="minorHAnsi"/>
        </w:rPr>
      </w:pPr>
    </w:p>
    <w:p w14:paraId="493CEABE" w14:textId="2B32EC5E" w:rsidR="00DD71A1" w:rsidRPr="003C257D" w:rsidRDefault="00000000" w:rsidP="007C4F51">
      <w:pPr>
        <w:spacing w:after="0"/>
        <w:rPr>
          <w:rFonts w:asciiTheme="minorHAnsi" w:hAnsiTheme="minorHAnsi"/>
        </w:rPr>
      </w:pPr>
      <w:hyperlink r:id="rId42" w:history="1">
        <w:r w:rsidR="00DD71A1" w:rsidRPr="003C257D">
          <w:rPr>
            <w:rStyle w:val="Hyperlink"/>
            <w:rFonts w:asciiTheme="minorHAnsi" w:hAnsiTheme="minorHAnsi"/>
          </w:rPr>
          <w:t>House Rules Committee Changes Adopted for 118th Congress</w:t>
        </w:r>
      </w:hyperlink>
    </w:p>
    <w:p w14:paraId="5BA2A8EA" w14:textId="7C0FB2B7" w:rsidR="00C33738" w:rsidRPr="003C257D" w:rsidRDefault="00C33738" w:rsidP="007C4F51">
      <w:pPr>
        <w:spacing w:after="0"/>
        <w:rPr>
          <w:rFonts w:asciiTheme="minorHAnsi" w:hAnsiTheme="minorHAnsi"/>
        </w:rPr>
      </w:pPr>
      <w:r w:rsidRPr="003C257D">
        <w:rPr>
          <w:rFonts w:asciiTheme="minorHAnsi" w:hAnsiTheme="minorHAnsi"/>
        </w:rPr>
        <w:t xml:space="preserve">The House Rules Committee controls which legislation is brought to the floor of the House of Representatives for a vote, as well as the length of debate, and allowance of amendments. A highly partisan committee that works closely with the Speaker, it generally fashions its “rules” with the aim to help or obstruct a bill. Part of the rules package that was passed this year is the provision that allows a </w:t>
      </w:r>
      <w:r w:rsidR="000218C4" w:rsidRPr="003C257D">
        <w:rPr>
          <w:rFonts w:asciiTheme="minorHAnsi" w:hAnsiTheme="minorHAnsi"/>
        </w:rPr>
        <w:t>single</w:t>
      </w:r>
      <w:r w:rsidRPr="003C257D">
        <w:rPr>
          <w:rFonts w:asciiTheme="minorHAnsi" w:hAnsiTheme="minorHAnsi"/>
        </w:rPr>
        <w:t xml:space="preserve"> member to force a vote on sacking the Speaker of the House. </w:t>
      </w:r>
    </w:p>
    <w:sectPr w:rsidR="00C33738" w:rsidRPr="003C2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0F95"/>
    <w:multiLevelType w:val="multilevel"/>
    <w:tmpl w:val="065EBC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C31195"/>
    <w:multiLevelType w:val="hybridMultilevel"/>
    <w:tmpl w:val="502E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9546F"/>
    <w:multiLevelType w:val="hybridMultilevel"/>
    <w:tmpl w:val="836C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81F11"/>
    <w:multiLevelType w:val="hybridMultilevel"/>
    <w:tmpl w:val="3396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069A8"/>
    <w:multiLevelType w:val="multilevel"/>
    <w:tmpl w:val="55EA6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2505D9"/>
    <w:multiLevelType w:val="hybridMultilevel"/>
    <w:tmpl w:val="F6189E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5D2628"/>
    <w:multiLevelType w:val="hybridMultilevel"/>
    <w:tmpl w:val="B37AC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0A0E50"/>
    <w:multiLevelType w:val="hybridMultilevel"/>
    <w:tmpl w:val="753CEF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9F23B9"/>
    <w:multiLevelType w:val="hybridMultilevel"/>
    <w:tmpl w:val="20CE09E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A704D2"/>
    <w:multiLevelType w:val="multilevel"/>
    <w:tmpl w:val="2ECA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9238445">
    <w:abstractNumId w:val="1"/>
  </w:num>
  <w:num w:numId="2" w16cid:durableId="364260714">
    <w:abstractNumId w:val="8"/>
  </w:num>
  <w:num w:numId="3" w16cid:durableId="1552693516">
    <w:abstractNumId w:val="5"/>
  </w:num>
  <w:num w:numId="4" w16cid:durableId="1937593767">
    <w:abstractNumId w:val="2"/>
  </w:num>
  <w:num w:numId="5" w16cid:durableId="680395768">
    <w:abstractNumId w:val="7"/>
  </w:num>
  <w:num w:numId="6" w16cid:durableId="1483504297">
    <w:abstractNumId w:val="0"/>
  </w:num>
  <w:num w:numId="7" w16cid:durableId="1371494807">
    <w:abstractNumId w:val="4"/>
  </w:num>
  <w:num w:numId="8" w16cid:durableId="430901854">
    <w:abstractNumId w:val="6"/>
  </w:num>
  <w:num w:numId="9" w16cid:durableId="1776364541">
    <w:abstractNumId w:val="9"/>
  </w:num>
  <w:num w:numId="10" w16cid:durableId="1930655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49"/>
    <w:rsid w:val="00004031"/>
    <w:rsid w:val="000218C4"/>
    <w:rsid w:val="0008317A"/>
    <w:rsid w:val="000B4AFD"/>
    <w:rsid w:val="000D0696"/>
    <w:rsid w:val="0011441B"/>
    <w:rsid w:val="00125B1F"/>
    <w:rsid w:val="0014589B"/>
    <w:rsid w:val="001A27DE"/>
    <w:rsid w:val="001A6590"/>
    <w:rsid w:val="00264DBA"/>
    <w:rsid w:val="002A2561"/>
    <w:rsid w:val="003C257D"/>
    <w:rsid w:val="00403927"/>
    <w:rsid w:val="004D3849"/>
    <w:rsid w:val="004E6FE6"/>
    <w:rsid w:val="00501584"/>
    <w:rsid w:val="00535D49"/>
    <w:rsid w:val="005436CC"/>
    <w:rsid w:val="00632D75"/>
    <w:rsid w:val="006446C1"/>
    <w:rsid w:val="00667D8B"/>
    <w:rsid w:val="006C164E"/>
    <w:rsid w:val="006E24E4"/>
    <w:rsid w:val="006F04C3"/>
    <w:rsid w:val="007C4F51"/>
    <w:rsid w:val="007D5FAE"/>
    <w:rsid w:val="00833932"/>
    <w:rsid w:val="009D015E"/>
    <w:rsid w:val="00A33863"/>
    <w:rsid w:val="00A43E89"/>
    <w:rsid w:val="00A52819"/>
    <w:rsid w:val="00AC326C"/>
    <w:rsid w:val="00AD6D73"/>
    <w:rsid w:val="00AE50D2"/>
    <w:rsid w:val="00B31428"/>
    <w:rsid w:val="00B859D8"/>
    <w:rsid w:val="00C33738"/>
    <w:rsid w:val="00C816B1"/>
    <w:rsid w:val="00D520B0"/>
    <w:rsid w:val="00D55043"/>
    <w:rsid w:val="00DD71A1"/>
    <w:rsid w:val="00E06C58"/>
    <w:rsid w:val="00E47266"/>
    <w:rsid w:val="00ED54EC"/>
    <w:rsid w:val="00ED5A60"/>
    <w:rsid w:val="00EE201A"/>
    <w:rsid w:val="00EE74C9"/>
    <w:rsid w:val="00F76002"/>
    <w:rsid w:val="00FE6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306B9"/>
  <w15:chartTrackingRefBased/>
  <w15:docId w15:val="{8980EAB6-B8A1-4C75-A487-8494D4FB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HAnsi"/>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sult-title">
    <w:name w:val="result-title"/>
    <w:basedOn w:val="DefaultParagraphFont"/>
    <w:rsid w:val="000B4AFD"/>
  </w:style>
  <w:style w:type="character" w:customStyle="1" w:styleId="result-item">
    <w:name w:val="result-item"/>
    <w:basedOn w:val="DefaultParagraphFont"/>
    <w:rsid w:val="000B4AFD"/>
  </w:style>
  <w:style w:type="character" w:styleId="Strong">
    <w:name w:val="Strong"/>
    <w:basedOn w:val="DefaultParagraphFont"/>
    <w:uiPriority w:val="22"/>
    <w:qFormat/>
    <w:rsid w:val="000B4AFD"/>
    <w:rPr>
      <w:b/>
      <w:bCs w:val="0"/>
    </w:rPr>
  </w:style>
  <w:style w:type="character" w:styleId="Hyperlink">
    <w:name w:val="Hyperlink"/>
    <w:basedOn w:val="DefaultParagraphFont"/>
    <w:uiPriority w:val="99"/>
    <w:unhideWhenUsed/>
    <w:rsid w:val="000B4AFD"/>
    <w:rPr>
      <w:color w:val="0000FF"/>
      <w:u w:val="single"/>
    </w:rPr>
  </w:style>
  <w:style w:type="paragraph" w:styleId="ListParagraph">
    <w:name w:val="List Paragraph"/>
    <w:basedOn w:val="Normal"/>
    <w:uiPriority w:val="34"/>
    <w:qFormat/>
    <w:rsid w:val="00ED54EC"/>
    <w:pPr>
      <w:ind w:left="720"/>
      <w:contextualSpacing/>
    </w:pPr>
  </w:style>
  <w:style w:type="character" w:styleId="UnresolvedMention">
    <w:name w:val="Unresolved Mention"/>
    <w:basedOn w:val="DefaultParagraphFont"/>
    <w:uiPriority w:val="99"/>
    <w:semiHidden/>
    <w:unhideWhenUsed/>
    <w:rsid w:val="00ED54EC"/>
    <w:rPr>
      <w:color w:val="605E5C"/>
      <w:shd w:val="clear" w:color="auto" w:fill="E1DFDD"/>
    </w:rPr>
  </w:style>
  <w:style w:type="character" w:styleId="FollowedHyperlink">
    <w:name w:val="FollowedHyperlink"/>
    <w:basedOn w:val="DefaultParagraphFont"/>
    <w:uiPriority w:val="99"/>
    <w:semiHidden/>
    <w:unhideWhenUsed/>
    <w:rsid w:val="005436CC"/>
    <w:rPr>
      <w:color w:val="954F72" w:themeColor="followedHyperlink"/>
      <w:u w:val="single"/>
    </w:rPr>
  </w:style>
  <w:style w:type="character" w:styleId="CommentReference">
    <w:name w:val="annotation reference"/>
    <w:basedOn w:val="DefaultParagraphFont"/>
    <w:uiPriority w:val="99"/>
    <w:semiHidden/>
    <w:unhideWhenUsed/>
    <w:rsid w:val="00E47266"/>
    <w:rPr>
      <w:sz w:val="16"/>
      <w:szCs w:val="16"/>
    </w:rPr>
  </w:style>
  <w:style w:type="paragraph" w:styleId="CommentText">
    <w:name w:val="annotation text"/>
    <w:basedOn w:val="Normal"/>
    <w:link w:val="CommentTextChar"/>
    <w:uiPriority w:val="99"/>
    <w:unhideWhenUsed/>
    <w:rsid w:val="00E47266"/>
    <w:pPr>
      <w:spacing w:line="240" w:lineRule="auto"/>
    </w:pPr>
    <w:rPr>
      <w:sz w:val="20"/>
      <w:szCs w:val="20"/>
    </w:rPr>
  </w:style>
  <w:style w:type="character" w:customStyle="1" w:styleId="CommentTextChar">
    <w:name w:val="Comment Text Char"/>
    <w:basedOn w:val="DefaultParagraphFont"/>
    <w:link w:val="CommentText"/>
    <w:uiPriority w:val="99"/>
    <w:rsid w:val="00E47266"/>
    <w:rPr>
      <w:sz w:val="20"/>
      <w:szCs w:val="20"/>
    </w:rPr>
  </w:style>
  <w:style w:type="paragraph" w:styleId="CommentSubject">
    <w:name w:val="annotation subject"/>
    <w:basedOn w:val="CommentText"/>
    <w:next w:val="CommentText"/>
    <w:link w:val="CommentSubjectChar"/>
    <w:uiPriority w:val="99"/>
    <w:semiHidden/>
    <w:unhideWhenUsed/>
    <w:rsid w:val="00E47266"/>
    <w:rPr>
      <w:b/>
    </w:rPr>
  </w:style>
  <w:style w:type="character" w:customStyle="1" w:styleId="CommentSubjectChar">
    <w:name w:val="Comment Subject Char"/>
    <w:basedOn w:val="CommentTextChar"/>
    <w:link w:val="CommentSubject"/>
    <w:uiPriority w:val="99"/>
    <w:semiHidden/>
    <w:rsid w:val="00E47266"/>
    <w:rPr>
      <w:b/>
      <w:sz w:val="20"/>
      <w:szCs w:val="20"/>
    </w:rPr>
  </w:style>
  <w:style w:type="paragraph" w:customStyle="1" w:styleId="lbexindentparagraph">
    <w:name w:val="lbexindentparagraph"/>
    <w:basedOn w:val="Normal"/>
    <w:rsid w:val="00EE74C9"/>
    <w:pPr>
      <w:spacing w:before="100" w:beforeAutospacing="1" w:after="100" w:afterAutospacing="1" w:line="240" w:lineRule="auto"/>
    </w:pPr>
    <w:rPr>
      <w:rFonts w:ascii="Times New Roman" w:eastAsia="Times New Roman" w:hAnsi="Times New Roman" w:cs="Times New Roman"/>
      <w:bCs w:val="0"/>
    </w:rPr>
  </w:style>
  <w:style w:type="paragraph" w:styleId="NormalWeb">
    <w:name w:val="Normal (Web)"/>
    <w:basedOn w:val="Normal"/>
    <w:uiPriority w:val="99"/>
    <w:semiHidden/>
    <w:unhideWhenUsed/>
    <w:rsid w:val="00DD71A1"/>
    <w:rPr>
      <w:rFonts w:ascii="Times New Roman" w:hAnsi="Times New Roman" w:cs="Times New Roman"/>
    </w:rPr>
  </w:style>
  <w:style w:type="paragraph" w:styleId="Revision">
    <w:name w:val="Revision"/>
    <w:hidden/>
    <w:uiPriority w:val="99"/>
    <w:semiHidden/>
    <w:rsid w:val="00A33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23606">
      <w:bodyDiv w:val="1"/>
      <w:marLeft w:val="0"/>
      <w:marRight w:val="0"/>
      <w:marTop w:val="0"/>
      <w:marBottom w:val="0"/>
      <w:divBdr>
        <w:top w:val="none" w:sz="0" w:space="0" w:color="auto"/>
        <w:left w:val="none" w:sz="0" w:space="0" w:color="auto"/>
        <w:bottom w:val="none" w:sz="0" w:space="0" w:color="auto"/>
        <w:right w:val="none" w:sz="0" w:space="0" w:color="auto"/>
      </w:divBdr>
    </w:div>
    <w:div w:id="476074388">
      <w:bodyDiv w:val="1"/>
      <w:marLeft w:val="0"/>
      <w:marRight w:val="0"/>
      <w:marTop w:val="0"/>
      <w:marBottom w:val="0"/>
      <w:divBdr>
        <w:top w:val="none" w:sz="0" w:space="0" w:color="auto"/>
        <w:left w:val="none" w:sz="0" w:space="0" w:color="auto"/>
        <w:bottom w:val="none" w:sz="0" w:space="0" w:color="auto"/>
        <w:right w:val="none" w:sz="0" w:space="0" w:color="auto"/>
      </w:divBdr>
    </w:div>
    <w:div w:id="647511203">
      <w:bodyDiv w:val="1"/>
      <w:marLeft w:val="0"/>
      <w:marRight w:val="0"/>
      <w:marTop w:val="0"/>
      <w:marBottom w:val="0"/>
      <w:divBdr>
        <w:top w:val="none" w:sz="0" w:space="0" w:color="auto"/>
        <w:left w:val="none" w:sz="0" w:space="0" w:color="auto"/>
        <w:bottom w:val="none" w:sz="0" w:space="0" w:color="auto"/>
        <w:right w:val="none" w:sz="0" w:space="0" w:color="auto"/>
      </w:divBdr>
    </w:div>
    <w:div w:id="1008483474">
      <w:bodyDiv w:val="1"/>
      <w:marLeft w:val="0"/>
      <w:marRight w:val="0"/>
      <w:marTop w:val="0"/>
      <w:marBottom w:val="0"/>
      <w:divBdr>
        <w:top w:val="none" w:sz="0" w:space="0" w:color="auto"/>
        <w:left w:val="none" w:sz="0" w:space="0" w:color="auto"/>
        <w:bottom w:val="none" w:sz="0" w:space="0" w:color="auto"/>
        <w:right w:val="none" w:sz="0" w:space="0" w:color="auto"/>
      </w:divBdr>
      <w:divsChild>
        <w:div w:id="809713730">
          <w:marLeft w:val="0"/>
          <w:marRight w:val="0"/>
          <w:marTop w:val="0"/>
          <w:marBottom w:val="0"/>
          <w:divBdr>
            <w:top w:val="none" w:sz="0" w:space="0" w:color="auto"/>
            <w:left w:val="none" w:sz="0" w:space="0" w:color="auto"/>
            <w:bottom w:val="none" w:sz="0" w:space="0" w:color="auto"/>
            <w:right w:val="none" w:sz="0" w:space="0" w:color="auto"/>
          </w:divBdr>
        </w:div>
      </w:divsChild>
    </w:div>
    <w:div w:id="1227494338">
      <w:bodyDiv w:val="1"/>
      <w:marLeft w:val="0"/>
      <w:marRight w:val="0"/>
      <w:marTop w:val="0"/>
      <w:marBottom w:val="0"/>
      <w:divBdr>
        <w:top w:val="none" w:sz="0" w:space="0" w:color="auto"/>
        <w:left w:val="none" w:sz="0" w:space="0" w:color="auto"/>
        <w:bottom w:val="none" w:sz="0" w:space="0" w:color="auto"/>
        <w:right w:val="none" w:sz="0" w:space="0" w:color="auto"/>
      </w:divBdr>
      <w:divsChild>
        <w:div w:id="1566835040">
          <w:marLeft w:val="0"/>
          <w:marRight w:val="0"/>
          <w:marTop w:val="0"/>
          <w:marBottom w:val="0"/>
          <w:divBdr>
            <w:top w:val="none" w:sz="0" w:space="0" w:color="auto"/>
            <w:left w:val="none" w:sz="0" w:space="0" w:color="auto"/>
            <w:bottom w:val="none" w:sz="0" w:space="0" w:color="auto"/>
            <w:right w:val="none" w:sz="0" w:space="0" w:color="auto"/>
          </w:divBdr>
        </w:div>
      </w:divsChild>
    </w:div>
    <w:div w:id="1573853611">
      <w:bodyDiv w:val="1"/>
      <w:marLeft w:val="0"/>
      <w:marRight w:val="0"/>
      <w:marTop w:val="0"/>
      <w:marBottom w:val="0"/>
      <w:divBdr>
        <w:top w:val="none" w:sz="0" w:space="0" w:color="auto"/>
        <w:left w:val="none" w:sz="0" w:space="0" w:color="auto"/>
        <w:bottom w:val="none" w:sz="0" w:space="0" w:color="auto"/>
        <w:right w:val="none" w:sz="0" w:space="0" w:color="auto"/>
      </w:divBdr>
      <w:divsChild>
        <w:div w:id="309944710">
          <w:marLeft w:val="0"/>
          <w:marRight w:val="0"/>
          <w:marTop w:val="0"/>
          <w:marBottom w:val="0"/>
          <w:divBdr>
            <w:top w:val="none" w:sz="0" w:space="0" w:color="auto"/>
            <w:left w:val="none" w:sz="0" w:space="0" w:color="auto"/>
            <w:bottom w:val="none" w:sz="0" w:space="0" w:color="auto"/>
            <w:right w:val="none" w:sz="0" w:space="0" w:color="auto"/>
          </w:divBdr>
        </w:div>
        <w:div w:id="18512600">
          <w:marLeft w:val="0"/>
          <w:marRight w:val="0"/>
          <w:marTop w:val="0"/>
          <w:marBottom w:val="0"/>
          <w:divBdr>
            <w:top w:val="none" w:sz="0" w:space="0" w:color="auto"/>
            <w:left w:val="none" w:sz="0" w:space="0" w:color="auto"/>
            <w:bottom w:val="none" w:sz="0" w:space="0" w:color="auto"/>
            <w:right w:val="none" w:sz="0" w:space="0" w:color="auto"/>
          </w:divBdr>
        </w:div>
      </w:divsChild>
    </w:div>
    <w:div w:id="1591235740">
      <w:bodyDiv w:val="1"/>
      <w:marLeft w:val="0"/>
      <w:marRight w:val="0"/>
      <w:marTop w:val="0"/>
      <w:marBottom w:val="0"/>
      <w:divBdr>
        <w:top w:val="none" w:sz="0" w:space="0" w:color="auto"/>
        <w:left w:val="none" w:sz="0" w:space="0" w:color="auto"/>
        <w:bottom w:val="none" w:sz="0" w:space="0" w:color="auto"/>
        <w:right w:val="none" w:sz="0" w:space="0" w:color="auto"/>
      </w:divBdr>
    </w:div>
    <w:div w:id="1675760870">
      <w:bodyDiv w:val="1"/>
      <w:marLeft w:val="0"/>
      <w:marRight w:val="0"/>
      <w:marTop w:val="0"/>
      <w:marBottom w:val="0"/>
      <w:divBdr>
        <w:top w:val="none" w:sz="0" w:space="0" w:color="auto"/>
        <w:left w:val="none" w:sz="0" w:space="0" w:color="auto"/>
        <w:bottom w:val="none" w:sz="0" w:space="0" w:color="auto"/>
        <w:right w:val="none" w:sz="0" w:space="0" w:color="auto"/>
      </w:divBdr>
      <w:divsChild>
        <w:div w:id="1568108593">
          <w:marLeft w:val="0"/>
          <w:marRight w:val="0"/>
          <w:marTop w:val="0"/>
          <w:marBottom w:val="0"/>
          <w:divBdr>
            <w:top w:val="none" w:sz="0" w:space="0" w:color="auto"/>
            <w:left w:val="none" w:sz="0" w:space="0" w:color="auto"/>
            <w:bottom w:val="none" w:sz="0" w:space="0" w:color="auto"/>
            <w:right w:val="none" w:sz="0" w:space="0" w:color="auto"/>
          </w:divBdr>
        </w:div>
        <w:div w:id="778833837">
          <w:marLeft w:val="0"/>
          <w:marRight w:val="0"/>
          <w:marTop w:val="0"/>
          <w:marBottom w:val="0"/>
          <w:divBdr>
            <w:top w:val="none" w:sz="0" w:space="0" w:color="auto"/>
            <w:left w:val="none" w:sz="0" w:space="0" w:color="auto"/>
            <w:bottom w:val="none" w:sz="0" w:space="0" w:color="auto"/>
            <w:right w:val="none" w:sz="0" w:space="0" w:color="auto"/>
          </w:divBdr>
        </w:div>
        <w:div w:id="1593709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ey.senate.gov/news/releases/casey-introduces-bill-to-expand-access-to-savings-accounts-for-people-with-disabilities" TargetMode="External"/><Relationship Id="rId13" Type="http://schemas.openxmlformats.org/officeDocument/2006/relationships/hyperlink" Target="https://autismsociety.org/wp-content/uploads/2023/09/ASA-Recommendations-re-Autism-CARES-Act-Letter-Aug-2023.docx-3.pdf" TargetMode="External"/><Relationship Id="rId18" Type="http://schemas.openxmlformats.org/officeDocument/2006/relationships/hyperlink" Target="https://www.congress.gov/bill/118th-congress/senate-bill/393?q=%7B%22search%22%3A%5B%22Social+Security+Expansion+Act+of+2022%22%5D%7D&amp;s=4&amp;r=2" TargetMode="External"/><Relationship Id="rId26" Type="http://schemas.openxmlformats.org/officeDocument/2006/relationships/hyperlink" Target="https://www.congress.gov/bill/118th-congress/senate-bill/597?q=%7B%22search%22%3A%5B%22Fairness+in+Social+Security+Act%22%5D%7D&amp;s=5&amp;r=3" TargetMode="External"/><Relationship Id="rId39" Type="http://schemas.openxmlformats.org/officeDocument/2006/relationships/hyperlink" Target="https://www.gao.gov/products/gao-23-105116" TargetMode="External"/><Relationship Id="rId3" Type="http://schemas.openxmlformats.org/officeDocument/2006/relationships/settings" Target="settings.xml"/><Relationship Id="rId21" Type="http://schemas.openxmlformats.org/officeDocument/2006/relationships/hyperlink" Target="https://thehill.com/opinion/finance/3889950-sanderss-latest-shot-in-the-social-security-wars-could-wound-us-all/" TargetMode="External"/><Relationship Id="rId34" Type="http://schemas.openxmlformats.org/officeDocument/2006/relationships/hyperlink" Target="https://www.cassidy.senate.gov/newsroom/press-releases/cassidy-kaine-collins-coons-introduce-legislation-to-help-americans-better-plan-for-retirement" TargetMode="External"/><Relationship Id="rId42" Type="http://schemas.openxmlformats.org/officeDocument/2006/relationships/hyperlink" Target="https://rollcall.com/2023/01/09/house-adopts-rules-package-for-the-118th-congress/" TargetMode="External"/><Relationship Id="rId7" Type="http://schemas.openxmlformats.org/officeDocument/2006/relationships/hyperlink" Target="https://www.congress.gov/bill/118th-congress/senate-bill/2522?q=%7B%22search%22%3A%22ABLE+MATCH+Act%22%7D&amp;s=2&amp;r=2" TargetMode="External"/><Relationship Id="rId12" Type="http://schemas.openxmlformats.org/officeDocument/2006/relationships/hyperlink" Target="https://www.brown.senate.gov/newsroom/press/release/brown-cassidy-announce-first-bipartisan-bicameral-bill-in-decades-to-update-supplemental-security-income-program" TargetMode="External"/><Relationship Id="rId17" Type="http://schemas.openxmlformats.org/officeDocument/2006/relationships/hyperlink" Target="https://www.congress.gov/bill/118th-congress/house-bill/1046?q=%7B%22search%22%3A%5B%22Social+Security+Expansion+Act+of+2022%22%5D%7D&amp;s=4&amp;r=1" TargetMode="External"/><Relationship Id="rId25" Type="http://schemas.openxmlformats.org/officeDocument/2006/relationships/hyperlink" Target="https://www.congress.gov/bill/118th-congress/house-bill/82?q=%7B%22search%22%3A%5B%22Fairness+in+Social+Security+Act%22%5D%7D&amp;s=5&amp;r=2" TargetMode="External"/><Relationship Id="rId33" Type="http://schemas.openxmlformats.org/officeDocument/2006/relationships/hyperlink" Target="https://www.congress.gov/bill/118th-congress/senate-bill/692/text?s=2&amp;r=2&amp;q=%7B%22search%22%3A%5B%22social+security%22%5D%7D" TargetMode="External"/><Relationship Id="rId38" Type="http://schemas.openxmlformats.org/officeDocument/2006/relationships/hyperlink" Target="https://www.gao.gov/assets/gao-23-105116-highlights.pdf" TargetMode="External"/><Relationship Id="rId2" Type="http://schemas.openxmlformats.org/officeDocument/2006/relationships/styles" Target="styles.xml"/><Relationship Id="rId16" Type="http://schemas.openxmlformats.org/officeDocument/2006/relationships/hyperlink" Target="https://www.congress.gov/bill/118th-congress/house-bill/4481/text?s=9&amp;r=1&amp;q=%7B%22search%22%3A%22Protection+and+Advocacy+in+Education+Act%22%7D" TargetMode="External"/><Relationship Id="rId20" Type="http://schemas.openxmlformats.org/officeDocument/2006/relationships/hyperlink" Target="https://www.sanders.senate.gov/wp-content/uploads/SandersLetter-2023-0213.pdf" TargetMode="External"/><Relationship Id="rId29" Type="http://schemas.openxmlformats.org/officeDocument/2006/relationships/hyperlink" Target="https://www.congress.gov/bill/118th-congress/house-bill/485?q=%7B%22search%22%3A%5B%22HR+485%22%5D%7D&amp;s=1&amp;r=1" TargetMode="External"/><Relationship Id="rId41" Type="http://schemas.openxmlformats.org/officeDocument/2006/relationships/hyperlink" Target="https://www.cms.gov/newsroom/fact-sheets/cms-waivers-flexibilities-and-transition-forward-covid-19-public-health-emergency" TargetMode="External"/><Relationship Id="rId1" Type="http://schemas.openxmlformats.org/officeDocument/2006/relationships/numbering" Target="numbering.xml"/><Relationship Id="rId6" Type="http://schemas.openxmlformats.org/officeDocument/2006/relationships/hyperlink" Target="https://www.congress.gov/bill/118th-congress/house-bill/5102?q=%7B%22search%22%3A%22ABLE+MATCH+Act%22%7D&amp;s=2&amp;r=1" TargetMode="External"/><Relationship Id="rId11" Type="http://schemas.openxmlformats.org/officeDocument/2006/relationships/hyperlink" Target="https://www.congress.gov/118/bills/hr5408/BILLS-118hr5408ih.pdf" TargetMode="External"/><Relationship Id="rId24" Type="http://schemas.openxmlformats.org/officeDocument/2006/relationships/hyperlink" Target="https://doggett.house.gov/media/press-releases/stop-wait-remove-harmful-health-care-barriers-individuals-disabilities-0" TargetMode="External"/><Relationship Id="rId32" Type="http://schemas.openxmlformats.org/officeDocument/2006/relationships/hyperlink" Target="https://www.casey.senate.gov/news/releases/casey-dingell-introduce-bill-to-provide-historic-permanent-investment-in-home-care-for-seniors-and-people-with-disabilities" TargetMode="External"/><Relationship Id="rId37" Type="http://schemas.openxmlformats.org/officeDocument/2006/relationships/hyperlink" Target="https://mcmorris.house.gov/posts/mcmorris-rodgers-reintroduces-bipartisan-bicameral-legislation-to-create-equal-opportunities-in-employment-for-workers-with-disabilities" TargetMode="External"/><Relationship Id="rId40" Type="http://schemas.openxmlformats.org/officeDocument/2006/relationships/hyperlink" Target="https://www.congress.gov/bill/118th-congress/house-bill/1215?q=%7B%22search%22%3A%5B%22Disabled%22%5D%7D&amp;s=2&amp;r=7" TargetMode="External"/><Relationship Id="rId5" Type="http://schemas.openxmlformats.org/officeDocument/2006/relationships/hyperlink" Target="https://members.specialneedsalliance.org/public-policy/advocacy-get-involved/" TargetMode="External"/><Relationship Id="rId15" Type="http://schemas.openxmlformats.org/officeDocument/2006/relationships/hyperlink" Target="https://www.congress.gov/bill/118th-congress/house-bill/2965?q=%7B%22search%22%3A%22HR+2965%22%7D&amp;s=5&amp;r=1" TargetMode="External"/><Relationship Id="rId23" Type="http://schemas.openxmlformats.org/officeDocument/2006/relationships/hyperlink" Target="https://www.congress.gov/bill/118th-congress/senate-bill/320?q=%7B%22search%22%3A%5B%22Stop+the+Wait+Act%22%5D%7D&amp;s=6&amp;r=1" TargetMode="External"/><Relationship Id="rId28" Type="http://schemas.openxmlformats.org/officeDocument/2006/relationships/hyperlink" Target="https://www.socialsecurityintelligence.com/how-the-cpi-e-compares-with-the-cpi-w-for-the-annual-social-security-cola/" TargetMode="External"/><Relationship Id="rId36" Type="http://schemas.openxmlformats.org/officeDocument/2006/relationships/hyperlink" Target="https://www.congress.gov/bill/118th-congress/senate-bill/533?q=%7B%22search%22%3A%5B%22Social+Security+disability%22%5D%7D&amp;s=7&amp;r=32" TargetMode="External"/><Relationship Id="rId10" Type="http://schemas.openxmlformats.org/officeDocument/2006/relationships/hyperlink" Target="https://www.congress.gov/118/bills/s2767/BILLS-118s2767is.pdf" TargetMode="External"/><Relationship Id="rId19" Type="http://schemas.openxmlformats.org/officeDocument/2006/relationships/hyperlink" Target="https://www.sanders.senate.gov/wp-content/uploads/Social-Security-Expansion-Act-one-pager-Final.pdf" TargetMode="External"/><Relationship Id="rId31" Type="http://schemas.openxmlformats.org/officeDocument/2006/relationships/hyperlink" Target="https://www.congress.gov/bill/118th-congress/senate-bill/100?q=%7B%22search%22%3A%5B%22S+100%22%5D%7D&amp;s=1&amp;r=1"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ngress.gov/bill/118th-congress/senate-bill/2196?q=%7B%22search%22%3A%22S.2196%22%7D&amp;s=7&amp;r=1" TargetMode="External"/><Relationship Id="rId14" Type="http://schemas.openxmlformats.org/officeDocument/2006/relationships/hyperlink" Target="https://www.congress.gov/bill/118th-congress/senate-bill/1333?q=%7B%22search%22%3A%22S.1333%22%7D&amp;s=4&amp;r=1" TargetMode="External"/><Relationship Id="rId22" Type="http://schemas.openxmlformats.org/officeDocument/2006/relationships/hyperlink" Target="https://www.congress.gov/bill/118th-congress/house-bill/883?q=%7B%22search%22%3A%5B%22Stop+the+Wait+Act%22%5D%7D&amp;s=6&amp;r=2" TargetMode="External"/><Relationship Id="rId27" Type="http://schemas.openxmlformats.org/officeDocument/2006/relationships/hyperlink" Target="https://www.congress.gov/bill/118th-congress/house-bill/716?q=%7B%22search%22%3A%5B%22Fairness+in+Social+Security+Act%22%5D%7D&amp;s=5&amp;r=4" TargetMode="External"/><Relationship Id="rId30" Type="http://schemas.openxmlformats.org/officeDocument/2006/relationships/hyperlink" Target="https://www.congress.gov/bill/118th-congress/house-bill/547?q=%7B%22search%22%3A%5B%22Better+Care++Better+Jobs+Act%22%5D%7D&amp;s=3&amp;r=2" TargetMode="External"/><Relationship Id="rId35" Type="http://schemas.openxmlformats.org/officeDocument/2006/relationships/hyperlink" Target="https://www.congress.gov/bill/118th-congress/house-bill/1263?q=%7B%22search%22%3A%5B%22Social+Security+disability%22%5D%7D&amp;s=7&amp;r=33"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2380</Words>
  <Characters>13571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Gibson Lindberg</dc:creator>
  <cp:keywords/>
  <dc:description/>
  <cp:lastModifiedBy>Brian</cp:lastModifiedBy>
  <cp:revision>3</cp:revision>
  <dcterms:created xsi:type="dcterms:W3CDTF">2023-10-19T20:35:00Z</dcterms:created>
  <dcterms:modified xsi:type="dcterms:W3CDTF">2023-10-19T20:54:00Z</dcterms:modified>
</cp:coreProperties>
</file>